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9578B4">
      <w:pPr>
        <w:snapToGrid w:val="0"/>
        <w:spacing w:line="600" w:lineRule="exact"/>
        <w:jc w:val="center"/>
        <w:rPr>
          <w:rFonts w:hint="eastAsia" w:ascii="方正小标宋_GBK" w:hAnsi="方正小标宋_GBK" w:eastAsia="方正小标宋_GBK" w:cs="方正小标宋_GBK"/>
          <w:sz w:val="48"/>
          <w:szCs w:val="48"/>
          <w:highlight w:val="none"/>
        </w:rPr>
      </w:pPr>
      <w:r>
        <w:rPr>
          <w:rFonts w:hint="eastAsia" w:ascii="方正小标宋_GBK" w:hAnsi="方正小标宋_GBK" w:eastAsia="方正小标宋_GBK" w:cs="方正小标宋_GBK"/>
          <w:sz w:val="48"/>
          <w:szCs w:val="48"/>
          <w:highlight w:val="none"/>
        </w:rPr>
        <w:t>2025年北部湾港钦州港域港口设施保安演习拖轮租赁服务</w:t>
      </w:r>
    </w:p>
    <w:p w14:paraId="0EE8C665">
      <w:pPr>
        <w:snapToGrid w:val="0"/>
        <w:spacing w:line="600" w:lineRule="exact"/>
        <w:jc w:val="center"/>
        <w:rPr>
          <w:rFonts w:ascii="黑体" w:hAnsi="黑体" w:eastAsia="黑体" w:cs="黑体"/>
          <w:sz w:val="72"/>
          <w:szCs w:val="72"/>
          <w:highlight w:val="none"/>
        </w:rPr>
      </w:pPr>
    </w:p>
    <w:p w14:paraId="483C45A0">
      <w:pPr>
        <w:snapToGrid w:val="0"/>
        <w:spacing w:line="620" w:lineRule="exact"/>
        <w:jc w:val="center"/>
        <w:rPr>
          <w:rFonts w:ascii="黑体" w:hAnsi="黑体" w:eastAsia="黑体" w:cs="黑体"/>
          <w:sz w:val="72"/>
          <w:szCs w:val="72"/>
          <w:highlight w:val="none"/>
        </w:rPr>
      </w:pPr>
    </w:p>
    <w:p w14:paraId="52115DD2">
      <w:pPr>
        <w:pStyle w:val="2"/>
        <w:rPr>
          <w:rFonts w:ascii="黑体" w:hAnsi="黑体" w:eastAsia="黑体" w:cs="黑体"/>
          <w:sz w:val="72"/>
          <w:szCs w:val="72"/>
          <w:highlight w:val="none"/>
        </w:rPr>
      </w:pPr>
      <w:bookmarkStart w:id="38" w:name="_GoBack"/>
      <w:bookmarkEnd w:id="38"/>
    </w:p>
    <w:p w14:paraId="04BD550A">
      <w:pPr>
        <w:rPr>
          <w:rFonts w:ascii="黑体" w:hAnsi="黑体" w:eastAsia="黑体" w:cs="黑体"/>
          <w:sz w:val="72"/>
          <w:szCs w:val="72"/>
          <w:highlight w:val="none"/>
        </w:rPr>
      </w:pPr>
    </w:p>
    <w:p w14:paraId="09F3E7D0">
      <w:pPr>
        <w:pStyle w:val="2"/>
      </w:pPr>
    </w:p>
    <w:p w14:paraId="5DABFB6B">
      <w:pPr>
        <w:pStyle w:val="2"/>
      </w:pPr>
    </w:p>
    <w:p w14:paraId="4D9E7E25">
      <w:pPr>
        <w:snapToGrid w:val="0"/>
        <w:spacing w:line="720" w:lineRule="exact"/>
        <w:jc w:val="center"/>
        <w:rPr>
          <w:rFonts w:hint="eastAsia" w:ascii="方正小标宋_GBK" w:hAnsi="方正小标宋_GBK" w:eastAsia="方正小标宋_GBK" w:cs="方正小标宋_GBK"/>
          <w:sz w:val="72"/>
          <w:szCs w:val="72"/>
          <w:highlight w:val="none"/>
        </w:rPr>
      </w:pPr>
      <w:r>
        <w:rPr>
          <w:rFonts w:hint="eastAsia" w:ascii="方正小标宋_GBK" w:hAnsi="方正小标宋_GBK" w:eastAsia="方正小标宋_GBK" w:cs="方正小标宋_GBK"/>
          <w:sz w:val="72"/>
          <w:szCs w:val="72"/>
          <w:highlight w:val="none"/>
        </w:rPr>
        <w:t>采购文件</w:t>
      </w:r>
    </w:p>
    <w:p w14:paraId="0BCA6526">
      <w:pPr>
        <w:snapToGrid w:val="0"/>
        <w:spacing w:line="720" w:lineRule="exact"/>
        <w:jc w:val="center"/>
        <w:rPr>
          <w:rFonts w:hint="eastAsia" w:ascii="方正小标宋_GBK" w:hAnsi="方正小标宋_GBK" w:eastAsia="方正小标宋_GBK" w:cs="方正小标宋_GBK"/>
          <w:sz w:val="72"/>
          <w:szCs w:val="72"/>
          <w:highlight w:val="none"/>
        </w:rPr>
      </w:pPr>
      <w:r>
        <w:rPr>
          <w:rFonts w:hint="eastAsia" w:ascii="方正小标宋_GBK" w:hAnsi="方正小标宋_GBK" w:eastAsia="方正小标宋_GBK" w:cs="方正小标宋_GBK"/>
          <w:sz w:val="72"/>
          <w:szCs w:val="72"/>
          <w:highlight w:val="none"/>
        </w:rPr>
        <w:t>（采购方案）</w:t>
      </w:r>
    </w:p>
    <w:p w14:paraId="676B493D">
      <w:pPr>
        <w:spacing w:line="600" w:lineRule="exact"/>
        <w:jc w:val="center"/>
        <w:rPr>
          <w:rFonts w:ascii="宋体" w:hAnsi="宋体"/>
          <w:b/>
          <w:sz w:val="32"/>
          <w:szCs w:val="32"/>
          <w:highlight w:val="none"/>
        </w:rPr>
      </w:pPr>
    </w:p>
    <w:p w14:paraId="6D4C88B0">
      <w:pPr>
        <w:spacing w:line="600" w:lineRule="exact"/>
        <w:jc w:val="center"/>
        <w:rPr>
          <w:rFonts w:ascii="宋体" w:hAnsi="宋体"/>
          <w:b/>
          <w:sz w:val="32"/>
          <w:szCs w:val="32"/>
          <w:highlight w:val="none"/>
        </w:rPr>
      </w:pPr>
    </w:p>
    <w:p w14:paraId="2E08FBEF">
      <w:pPr>
        <w:pStyle w:val="7"/>
      </w:pPr>
    </w:p>
    <w:p w14:paraId="0EA58D91">
      <w:pPr>
        <w:spacing w:line="600" w:lineRule="exact"/>
        <w:ind w:firstLine="1285" w:firstLineChars="400"/>
        <w:rPr>
          <w:rFonts w:ascii="仿宋_GB2312" w:hAnsi="宋体" w:eastAsia="仿宋_GB2312"/>
          <w:b/>
          <w:sz w:val="32"/>
          <w:szCs w:val="32"/>
          <w:highlight w:val="none"/>
        </w:rPr>
      </w:pPr>
    </w:p>
    <w:p w14:paraId="332539DE">
      <w:pPr>
        <w:pStyle w:val="2"/>
        <w:rPr>
          <w:rFonts w:ascii="仿宋_GB2312" w:hAnsi="宋体" w:eastAsia="仿宋_GB2312"/>
          <w:b/>
          <w:sz w:val="32"/>
          <w:szCs w:val="32"/>
          <w:highlight w:val="none"/>
        </w:rPr>
      </w:pPr>
    </w:p>
    <w:p w14:paraId="05D690CE">
      <w:pPr>
        <w:rPr>
          <w:rFonts w:ascii="仿宋_GB2312" w:hAnsi="宋体" w:eastAsia="仿宋_GB2312"/>
          <w:b/>
          <w:sz w:val="32"/>
          <w:szCs w:val="32"/>
          <w:highlight w:val="none"/>
        </w:rPr>
      </w:pPr>
    </w:p>
    <w:p w14:paraId="188A74E9">
      <w:pPr>
        <w:pStyle w:val="2"/>
        <w:rPr>
          <w:rFonts w:ascii="仿宋_GB2312" w:hAnsi="宋体" w:eastAsia="仿宋_GB2312"/>
          <w:b/>
          <w:sz w:val="32"/>
          <w:szCs w:val="32"/>
          <w:highlight w:val="none"/>
        </w:rPr>
      </w:pPr>
    </w:p>
    <w:p w14:paraId="7F9A5122"/>
    <w:p w14:paraId="31460548">
      <w:pPr>
        <w:spacing w:line="600" w:lineRule="exact"/>
        <w:jc w:val="center"/>
        <w:rPr>
          <w:rFonts w:ascii="宋体" w:hAnsi="宋体" w:cs="宋体"/>
          <w:b/>
          <w:sz w:val="32"/>
          <w:szCs w:val="32"/>
          <w:highlight w:val="none"/>
        </w:rPr>
      </w:pPr>
      <w:r>
        <w:rPr>
          <w:rFonts w:hint="eastAsia" w:ascii="宋体" w:hAnsi="宋体" w:cs="宋体"/>
          <w:b/>
          <w:sz w:val="32"/>
          <w:szCs w:val="32"/>
          <w:highlight w:val="none"/>
        </w:rPr>
        <w:t>采购人：广西壮族自治区北部湾港口管理局钦州分局</w:t>
      </w:r>
    </w:p>
    <w:p w14:paraId="2C2DE631">
      <w:pPr>
        <w:spacing w:line="600" w:lineRule="exact"/>
        <w:jc w:val="center"/>
        <w:rPr>
          <w:rFonts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8</w:t>
      </w:r>
      <w:r>
        <w:rPr>
          <w:rFonts w:hint="eastAsia" w:ascii="宋体" w:hAnsi="宋体" w:cs="宋体"/>
          <w:b/>
          <w:bCs/>
          <w:w w:val="95"/>
          <w:sz w:val="32"/>
          <w:szCs w:val="32"/>
          <w:highlight w:val="none"/>
        </w:rPr>
        <w:t>月</w:t>
      </w:r>
    </w:p>
    <w:p w14:paraId="012B1F0C">
      <w:pPr>
        <w:pStyle w:val="15"/>
        <w:tabs>
          <w:tab w:val="right" w:leader="dot" w:pos="8931"/>
          <w:tab w:val="clear" w:pos="8296"/>
        </w:tabs>
        <w:adjustRightInd w:val="0"/>
        <w:snapToGrid w:val="0"/>
        <w:spacing w:line="600" w:lineRule="exact"/>
        <w:ind w:left="0" w:leftChars="0"/>
        <w:rPr>
          <w:rFonts w:ascii="宋体" w:hAnsi="宋体"/>
          <w:b/>
          <w:sz w:val="32"/>
          <w:szCs w:val="32"/>
          <w:highlight w:val="none"/>
        </w:rPr>
      </w:pPr>
      <w:r>
        <w:rPr>
          <w:rFonts w:ascii="宋体" w:hAnsi="宋体"/>
          <w:b/>
          <w:sz w:val="44"/>
          <w:szCs w:val="44"/>
          <w:highlight w:val="none"/>
        </w:rPr>
        <w:br w:type="page"/>
      </w:r>
    </w:p>
    <w:p w14:paraId="4BF7E500">
      <w:pPr>
        <w:spacing w:line="600" w:lineRule="exact"/>
        <w:rPr>
          <w:rFonts w:ascii="宋体" w:hAnsi="宋体"/>
          <w:b/>
          <w:sz w:val="32"/>
          <w:szCs w:val="32"/>
          <w:highlight w:val="none"/>
        </w:rPr>
        <w:sectPr>
          <w:headerReference r:id="rId4" w:type="first"/>
          <w:footerReference r:id="rId6" w:type="first"/>
          <w:headerReference r:id="rId3" w:type="default"/>
          <w:footerReference r:id="rId5" w:type="default"/>
          <w:pgSz w:w="11906" w:h="16838"/>
          <w:pgMar w:top="2098" w:right="1587" w:bottom="1587" w:left="1587" w:header="851" w:footer="992" w:gutter="0"/>
          <w:pgNumType w:fmt="numberInDash"/>
          <w:cols w:space="0" w:num="1"/>
          <w:titlePg/>
          <w:docGrid w:type="lines" w:linePitch="312" w:charSpace="0"/>
        </w:sectPr>
      </w:pPr>
    </w:p>
    <w:p w14:paraId="35873BB3">
      <w:pPr>
        <w:pStyle w:val="3"/>
        <w:spacing w:before="0" w:after="0" w:line="600" w:lineRule="exact"/>
        <w:jc w:val="center"/>
        <w:rPr>
          <w:rFonts w:ascii="方正小标宋_GBK" w:hAnsi="方正小标宋_GBK" w:eastAsia="方正小标宋_GBK" w:cs="方正小标宋_GBK"/>
          <w:highlight w:val="none"/>
        </w:rPr>
      </w:pPr>
      <w:bookmarkStart w:id="0" w:name="_Toc27769"/>
      <w:bookmarkStart w:id="1" w:name="_Toc25608"/>
      <w:r>
        <w:rPr>
          <w:rFonts w:hint="eastAsia" w:ascii="方正小标宋_GBK" w:hAnsi="方正小标宋_GBK" w:eastAsia="方正小标宋_GBK" w:cs="方正小标宋_GBK"/>
          <w:highlight w:val="none"/>
        </w:rPr>
        <w:t>第一章 采购公告</w:t>
      </w:r>
      <w:bookmarkEnd w:id="0"/>
      <w:bookmarkEnd w:id="1"/>
    </w:p>
    <w:p w14:paraId="3E6D3A7D">
      <w:pPr>
        <w:spacing w:line="600" w:lineRule="exact"/>
        <w:ind w:firstLine="472" w:firstLineChars="147"/>
        <w:rPr>
          <w:rFonts w:ascii="黑体" w:hAnsi="黑体" w:eastAsia="黑体" w:cs="黑体"/>
          <w:b/>
          <w:sz w:val="32"/>
          <w:szCs w:val="32"/>
          <w:highlight w:val="none"/>
        </w:rPr>
      </w:pPr>
      <w:bookmarkStart w:id="2" w:name="_Toc71365905"/>
      <w:bookmarkStart w:id="3" w:name="_Toc28359089"/>
      <w:bookmarkStart w:id="4" w:name="_Toc35393798"/>
      <w:bookmarkStart w:id="5" w:name="_Toc35393629"/>
      <w:bookmarkStart w:id="6" w:name="_Toc44229878"/>
      <w:bookmarkStart w:id="7" w:name="_Toc28359012"/>
      <w:bookmarkStart w:id="8" w:name="_Hlk37430271"/>
    </w:p>
    <w:p w14:paraId="3C89014B">
      <w:pPr>
        <w:spacing w:line="60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一、项目基本情况</w:t>
      </w:r>
    </w:p>
    <w:p w14:paraId="0B047BF7">
      <w:pPr>
        <w:spacing w:line="600" w:lineRule="exact"/>
        <w:ind w:firstLine="640" w:firstLineChars="200"/>
        <w:rPr>
          <w:rFonts w:ascii="楷体" w:hAnsi="楷体" w:eastAsia="楷体" w:cs="楷体"/>
          <w:bCs/>
          <w:sz w:val="32"/>
          <w:szCs w:val="32"/>
          <w:highlight w:val="none"/>
        </w:rPr>
      </w:pPr>
      <w:r>
        <w:rPr>
          <w:rFonts w:hint="eastAsia" w:ascii="楷体" w:hAnsi="楷体" w:eastAsia="楷体" w:cs="楷体"/>
          <w:bCs/>
          <w:sz w:val="32"/>
          <w:szCs w:val="32"/>
          <w:highlight w:val="none"/>
        </w:rPr>
        <w:t>（一）采购项目名称：2025年北部湾港钦州港域港口设施保安演习拖轮租赁服务</w:t>
      </w:r>
    </w:p>
    <w:p w14:paraId="29A1BF03">
      <w:pPr>
        <w:spacing w:line="600" w:lineRule="exact"/>
        <w:ind w:firstLine="640" w:firstLineChars="200"/>
        <w:rPr>
          <w:rFonts w:ascii="楷体" w:hAnsi="楷体" w:eastAsia="楷体" w:cs="楷体"/>
          <w:bCs/>
          <w:sz w:val="32"/>
          <w:szCs w:val="32"/>
          <w:highlight w:val="none"/>
        </w:rPr>
      </w:pPr>
      <w:r>
        <w:rPr>
          <w:rFonts w:hint="eastAsia" w:ascii="楷体" w:hAnsi="楷体" w:eastAsia="楷体" w:cs="楷体"/>
          <w:bCs/>
          <w:sz w:val="32"/>
          <w:szCs w:val="32"/>
          <w:highlight w:val="none"/>
        </w:rPr>
        <w:t>（二）项目地点：广西钦州市钦州港。</w:t>
      </w:r>
    </w:p>
    <w:p w14:paraId="7A6688DB">
      <w:pPr>
        <w:spacing w:line="600" w:lineRule="exact"/>
        <w:ind w:firstLine="640" w:firstLineChars="200"/>
        <w:jc w:val="left"/>
        <w:rPr>
          <w:rFonts w:ascii="楷体" w:hAnsi="楷体" w:eastAsia="楷体" w:cs="楷体"/>
          <w:bCs/>
          <w:kern w:val="0"/>
          <w:sz w:val="32"/>
          <w:szCs w:val="32"/>
          <w:highlight w:val="none"/>
        </w:rPr>
      </w:pPr>
      <w:r>
        <w:rPr>
          <w:rFonts w:hint="eastAsia" w:ascii="楷体" w:hAnsi="楷体" w:eastAsia="楷体" w:cs="楷体"/>
          <w:bCs/>
          <w:sz w:val="32"/>
          <w:szCs w:val="32"/>
          <w:highlight w:val="none"/>
        </w:rPr>
        <w:t>（三）项目预算金额：4.4万元，报价超过4.4万元的比选响应文件为无效。</w:t>
      </w:r>
    </w:p>
    <w:p w14:paraId="01C97EE2">
      <w:pPr>
        <w:spacing w:line="600" w:lineRule="exact"/>
        <w:ind w:firstLine="640" w:firstLineChars="200"/>
        <w:rPr>
          <w:rFonts w:ascii="仿宋" w:hAnsi="仿宋" w:eastAsia="仿宋" w:cs="仿宋"/>
          <w:bCs/>
          <w:sz w:val="32"/>
          <w:szCs w:val="32"/>
          <w:highlight w:val="none"/>
        </w:rPr>
      </w:pPr>
      <w:r>
        <w:rPr>
          <w:rFonts w:hint="eastAsia" w:ascii="楷体" w:hAnsi="楷体" w:eastAsia="楷体" w:cs="楷体"/>
          <w:bCs/>
          <w:sz w:val="32"/>
          <w:szCs w:val="32"/>
          <w:highlight w:val="none"/>
        </w:rPr>
        <w:t xml:space="preserve">（四）采购需求： </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610A5C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c>
          <w:tcPr>
            <w:tcW w:w="776" w:type="dxa"/>
            <w:tcBorders>
              <w:top w:val="single" w:color="auto" w:sz="4" w:space="0"/>
              <w:left w:val="single" w:color="auto" w:sz="4" w:space="0"/>
              <w:bottom w:val="single" w:color="auto" w:sz="4" w:space="0"/>
              <w:right w:val="single" w:color="auto" w:sz="4" w:space="0"/>
            </w:tcBorders>
            <w:vAlign w:val="center"/>
          </w:tcPr>
          <w:p w14:paraId="3ED5D4A9">
            <w:pPr>
              <w:adjustRightInd w:val="0"/>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6B59CD67">
            <w:pPr>
              <w:adjustRightInd w:val="0"/>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30A41EAF">
            <w:pPr>
              <w:adjustRightInd w:val="0"/>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数量及</w:t>
            </w:r>
          </w:p>
          <w:p w14:paraId="42F48B83">
            <w:pPr>
              <w:adjustRightInd w:val="0"/>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66399709">
            <w:pPr>
              <w:adjustRightInd w:val="0"/>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服务内容及要求</w:t>
            </w:r>
          </w:p>
        </w:tc>
      </w:tr>
      <w:tr w14:paraId="2E052A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trHeight w:val="3333" w:hRule="atLeast"/>
        </w:trPr>
        <w:tc>
          <w:tcPr>
            <w:tcW w:w="776" w:type="dxa"/>
            <w:tcBorders>
              <w:top w:val="single" w:color="auto" w:sz="4" w:space="0"/>
              <w:left w:val="single" w:color="auto" w:sz="4" w:space="0"/>
              <w:bottom w:val="single" w:color="auto" w:sz="4" w:space="0"/>
              <w:right w:val="single" w:color="auto" w:sz="4" w:space="0"/>
            </w:tcBorders>
            <w:vAlign w:val="center"/>
          </w:tcPr>
          <w:p w14:paraId="299A6D11">
            <w:pPr>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rPr>
              <w:t>01</w:t>
            </w:r>
          </w:p>
        </w:tc>
        <w:tc>
          <w:tcPr>
            <w:tcW w:w="1590" w:type="dxa"/>
            <w:tcBorders>
              <w:top w:val="single" w:color="auto" w:sz="4" w:space="0"/>
              <w:left w:val="single" w:color="auto" w:sz="4" w:space="0"/>
              <w:bottom w:val="single" w:color="auto" w:sz="4" w:space="0"/>
              <w:right w:val="single" w:color="auto" w:sz="4" w:space="0"/>
            </w:tcBorders>
            <w:vAlign w:val="center"/>
          </w:tcPr>
          <w:p w14:paraId="54015B0B">
            <w:pPr>
              <w:spacing w:line="600" w:lineRule="exact"/>
              <w:rPr>
                <w:rFonts w:ascii="仿宋" w:hAnsi="仿宋" w:eastAsia="仿宋" w:cs="仿宋"/>
                <w:bCs/>
                <w:sz w:val="32"/>
                <w:szCs w:val="32"/>
                <w:highlight w:val="none"/>
              </w:rPr>
            </w:pPr>
            <w:r>
              <w:rPr>
                <w:rFonts w:hint="eastAsia" w:ascii="仿宋" w:hAnsi="仿宋" w:eastAsia="仿宋" w:cs="仿宋"/>
                <w:bCs/>
                <w:sz w:val="32"/>
                <w:szCs w:val="32"/>
                <w:highlight w:val="none"/>
              </w:rPr>
              <w:t>2025年北部湾港钦州港域港口设施保安演习拖轮租赁服务</w:t>
            </w:r>
          </w:p>
          <w:p w14:paraId="5C0471FE">
            <w:pPr>
              <w:snapToGrid w:val="0"/>
              <w:spacing w:line="600" w:lineRule="exact"/>
              <w:jc w:val="left"/>
              <w:rPr>
                <w:rFonts w:ascii="仿宋" w:hAnsi="仿宋" w:eastAsia="仿宋" w:cs="仿宋"/>
                <w:sz w:val="32"/>
                <w:szCs w:val="32"/>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0EC2B295">
            <w:pPr>
              <w:snapToGrid w:val="0"/>
              <w:spacing w:line="600" w:lineRule="exact"/>
              <w:jc w:val="center"/>
              <w:rPr>
                <w:rFonts w:ascii="仿宋" w:hAnsi="仿宋" w:eastAsia="仿宋" w:cs="仿宋"/>
                <w:sz w:val="32"/>
                <w:szCs w:val="32"/>
                <w:highlight w:val="none"/>
              </w:rPr>
            </w:pPr>
            <w:r>
              <w:rPr>
                <w:rFonts w:hint="eastAsia" w:ascii="仿宋" w:hAnsi="仿宋" w:eastAsia="仿宋" w:cs="仿宋"/>
                <w:bCs/>
                <w:sz w:val="32"/>
                <w:szCs w:val="32"/>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17042A48">
            <w:pPr>
              <w:pStyle w:val="4"/>
              <w:spacing w:line="560" w:lineRule="exact"/>
              <w:rPr>
                <w:rFonts w:ascii="仿宋" w:hAnsi="仿宋" w:eastAsia="仿宋" w:cs="仿宋"/>
                <w:b w:val="0"/>
                <w:sz w:val="32"/>
                <w:highlight w:val="none"/>
              </w:rPr>
            </w:pPr>
            <w:r>
              <w:rPr>
                <w:rFonts w:hint="eastAsia" w:ascii="黑体" w:hAnsi="黑体" w:eastAsia="黑体" w:cs="黑体"/>
                <w:b w:val="0"/>
                <w:sz w:val="32"/>
                <w:highlight w:val="none"/>
              </w:rPr>
              <w:t>一、项目背景：</w:t>
            </w:r>
            <w:r>
              <w:rPr>
                <w:rFonts w:hint="eastAsia" w:ascii="仿宋" w:hAnsi="仿宋" w:eastAsia="仿宋" w:cs="仿宋"/>
                <w:b w:val="0"/>
                <w:bCs w:val="0"/>
                <w:sz w:val="32"/>
                <w:szCs w:val="32"/>
                <w:highlight w:val="none"/>
              </w:rPr>
              <w:t>为做好北部湾港钦州港域的港口设施保安应急处置工作，维护港口生产的平稳、健康、有序进行，提高港口经营人的港口保安人员履行保安职责，有效应对港口设施保安突发事件能力，根据《港口设施保安规则》，开展2025年北部湾港钦州港域港口设施保安演习。</w:t>
            </w:r>
            <w:r>
              <w:rPr>
                <w:rFonts w:hint="eastAsia" w:ascii="仿宋" w:hAnsi="仿宋" w:eastAsia="仿宋" w:cs="仿宋"/>
                <w:b w:val="0"/>
                <w:bCs/>
                <w:kern w:val="2"/>
                <w:sz w:val="32"/>
                <w:szCs w:val="32"/>
                <w:highlight w:val="none"/>
                <w:lang w:val="en-US" w:eastAsia="zh-CN" w:bidi="ar-SA"/>
              </w:rPr>
              <w:t>结合本港口实际，本次演习拟设置科目、场景为发生恐怖袭击，保安等级为二级，演习观摩人员约100人。</w:t>
            </w:r>
          </w:p>
          <w:p w14:paraId="6E2B0871">
            <w:pPr>
              <w:pStyle w:val="4"/>
              <w:spacing w:line="600" w:lineRule="exact"/>
              <w:rPr>
                <w:rFonts w:ascii="仿宋" w:hAnsi="仿宋" w:eastAsia="仿宋" w:cs="仿宋"/>
                <w:b w:val="0"/>
                <w:sz w:val="32"/>
                <w:highlight w:val="none"/>
              </w:rPr>
            </w:pPr>
            <w:r>
              <w:rPr>
                <w:rFonts w:hint="eastAsia" w:ascii="黑体" w:hAnsi="黑体" w:eastAsia="黑体" w:cs="黑体"/>
                <w:b w:val="0"/>
                <w:sz w:val="32"/>
                <w:highlight w:val="none"/>
              </w:rPr>
              <w:t>二、服务时间：</w:t>
            </w:r>
            <w:r>
              <w:rPr>
                <w:rFonts w:hint="eastAsia" w:ascii="仿宋" w:hAnsi="仿宋" w:eastAsia="仿宋" w:cs="仿宋"/>
                <w:b w:val="0"/>
                <w:sz w:val="32"/>
                <w:highlight w:val="none"/>
              </w:rPr>
              <w:t>预演、正演共计2天（具体时间待定）</w:t>
            </w:r>
          </w:p>
          <w:p w14:paraId="39584B90">
            <w:pPr>
              <w:spacing w:line="600" w:lineRule="exact"/>
              <w:rPr>
                <w:rFonts w:ascii="仿宋" w:hAnsi="仿宋" w:eastAsia="仿宋" w:cs="仿宋"/>
                <w:bCs/>
                <w:sz w:val="32"/>
                <w:szCs w:val="32"/>
                <w:highlight w:val="none"/>
              </w:rPr>
            </w:pPr>
            <w:r>
              <w:rPr>
                <w:rFonts w:hint="eastAsia" w:ascii="黑体" w:hAnsi="黑体" w:eastAsia="黑体" w:cs="黑体"/>
                <w:bCs/>
                <w:sz w:val="32"/>
                <w:szCs w:val="32"/>
                <w:highlight w:val="none"/>
              </w:rPr>
              <w:t>三、服务地点：</w:t>
            </w:r>
            <w:r>
              <w:rPr>
                <w:rFonts w:hint="eastAsia" w:ascii="仿宋" w:hAnsi="仿宋" w:eastAsia="仿宋" w:cs="仿宋"/>
                <w:bCs/>
                <w:sz w:val="32"/>
                <w:szCs w:val="32"/>
                <w:highlight w:val="none"/>
              </w:rPr>
              <w:t>北部湾港钦州港域大榄坪港区大榄坪作业区3号泊位</w:t>
            </w:r>
          </w:p>
          <w:p w14:paraId="4FEC2680">
            <w:pPr>
              <w:pStyle w:val="4"/>
              <w:spacing w:line="600" w:lineRule="exact"/>
              <w:rPr>
                <w:rFonts w:ascii="仿宋" w:hAnsi="仿宋" w:eastAsia="仿宋" w:cs="仿宋"/>
                <w:sz w:val="32"/>
                <w:highlight w:val="none"/>
              </w:rPr>
            </w:pPr>
            <w:r>
              <w:rPr>
                <w:rFonts w:hint="eastAsia" w:ascii="黑体" w:hAnsi="黑体" w:eastAsia="黑体" w:cs="黑体"/>
                <w:b w:val="0"/>
                <w:sz w:val="32"/>
                <w:highlight w:val="none"/>
              </w:rPr>
              <w:t>四、服务要求：</w:t>
            </w:r>
            <w:r>
              <w:rPr>
                <w:rFonts w:hint="eastAsia" w:ascii="仿宋" w:hAnsi="仿宋" w:eastAsia="仿宋" w:cs="仿宋"/>
                <w:b w:val="0"/>
                <w:sz w:val="32"/>
                <w:highlight w:val="none"/>
              </w:rPr>
              <w:t>本次演习需租赁2艘拖轮，单艘额定功率≥4000马力，具备良好的操纵性与稳定性，以满足5万吨级散货船（船长约189米）的靠离泊、护航、顶推等作业需求。预演及正式演习期间，累计使用拖轮4艘次，服务时长约48小时。</w:t>
            </w:r>
          </w:p>
        </w:tc>
      </w:tr>
    </w:tbl>
    <w:p w14:paraId="7982D6E5">
      <w:pPr>
        <w:spacing w:line="60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二、供应商的资格条件</w:t>
      </w:r>
    </w:p>
    <w:p w14:paraId="308D8E2B">
      <w:pPr>
        <w:spacing w:line="600" w:lineRule="exact"/>
        <w:ind w:firstLine="640" w:firstLineChars="200"/>
        <w:rPr>
          <w:rFonts w:ascii="仿宋" w:hAnsi="仿宋" w:eastAsia="仿宋" w:cs="仿宋"/>
          <w:bCs/>
          <w:sz w:val="32"/>
          <w:szCs w:val="32"/>
          <w:highlight w:val="none"/>
        </w:rPr>
      </w:pPr>
      <w:r>
        <w:rPr>
          <w:rFonts w:hint="eastAsia" w:ascii="仿宋" w:hAnsi="仿宋" w:eastAsia="仿宋" w:cs="仿宋"/>
          <w:sz w:val="32"/>
          <w:szCs w:val="32"/>
          <w:highlight w:val="none"/>
          <w:lang w:bidi="ar"/>
        </w:rPr>
        <w:t>1.具备国内独立法人资格。供应商须具有独立承担民事责任的能力，为中华人民共和国境内注册的法人或其他组织，具有有效的营业执照和为船舶进出港、靠离码头、移泊提供顶推、拖带服务的港口经营许可证；</w:t>
      </w:r>
    </w:p>
    <w:p w14:paraId="15C45AEB">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2.供应商参加采购活动前三年内，在经营活动中没有重大违法记录（重大违法记录，是指供应商因违法经营受到刑事处罚或者责令停产停业、吊销许可证或者执照等行政处罚），提供书面声明。</w:t>
      </w:r>
    </w:p>
    <w:p w14:paraId="5C4868DB">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3.在“信用中国”网站、中国政府采购网等渠道未被列入失信被执行人、重大税收违法案件当事人名单、政府采购严重违法失信行为记录名单。</w:t>
      </w:r>
    </w:p>
    <w:p w14:paraId="5AFB9DD4">
      <w:pPr>
        <w:spacing w:line="60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三、获取采购文件</w:t>
      </w:r>
    </w:p>
    <w:p w14:paraId="19CFF86C">
      <w:pPr>
        <w:spacing w:line="60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（一）获取时间：</w:t>
      </w:r>
      <w:r>
        <w:rPr>
          <w:rFonts w:hint="eastAsia" w:ascii="仿宋" w:hAnsi="仿宋" w:eastAsia="仿宋" w:cs="仿宋"/>
          <w:sz w:val="32"/>
          <w:szCs w:val="32"/>
          <w:highlight w:val="none"/>
          <w:lang w:bidi="ar"/>
        </w:rPr>
        <w:t>自本公告发布之日起 3个工作日。</w:t>
      </w:r>
    </w:p>
    <w:p w14:paraId="0F6449C7">
      <w:pPr>
        <w:spacing w:line="60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（二）获取地点：</w:t>
      </w:r>
      <w:r>
        <w:rPr>
          <w:rFonts w:hint="eastAsia" w:ascii="仿宋" w:hAnsi="仿宋" w:eastAsia="仿宋" w:cs="仿宋"/>
          <w:sz w:val="32"/>
          <w:szCs w:val="32"/>
          <w:highlight w:val="none"/>
          <w:lang w:bidi="ar"/>
        </w:rPr>
        <w:t>广西壮族自治区港航发展中心网站(http://www.gxghj.cn/)</w:t>
      </w:r>
    </w:p>
    <w:p w14:paraId="3F29CAC1">
      <w:pPr>
        <w:spacing w:line="60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（三）获取方式：</w:t>
      </w:r>
      <w:r>
        <w:rPr>
          <w:rFonts w:hint="eastAsia" w:ascii="仿宋" w:hAnsi="仿宋" w:eastAsia="仿宋" w:cs="仿宋"/>
          <w:sz w:val="32"/>
          <w:szCs w:val="32"/>
          <w:highlight w:val="none"/>
          <w:lang w:bidi="ar"/>
        </w:rPr>
        <w:t>网上下载。本项目不提供纸质文件，潜在供应商登录广西壮族自治区港航发展中心网站-进入“通知公告”应用，点击本公告获取采购文件（采购方案）。</w:t>
      </w:r>
    </w:p>
    <w:p w14:paraId="4010F0D3">
      <w:pPr>
        <w:spacing w:line="60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四、响应文件提交</w:t>
      </w:r>
    </w:p>
    <w:p w14:paraId="6161571A">
      <w:pPr>
        <w:spacing w:line="600" w:lineRule="exact"/>
        <w:ind w:firstLine="640" w:firstLineChars="200"/>
        <w:rPr>
          <w:rFonts w:ascii="楷体" w:hAnsi="楷体" w:eastAsia="楷体" w:cs="楷体"/>
          <w:sz w:val="32"/>
          <w:szCs w:val="32"/>
          <w:highlight w:val="none"/>
          <w:lang w:bidi="ar"/>
        </w:rPr>
      </w:pPr>
      <w:r>
        <w:rPr>
          <w:rFonts w:hint="eastAsia" w:ascii="楷体" w:hAnsi="楷体" w:eastAsia="楷体" w:cs="楷体"/>
          <w:sz w:val="32"/>
          <w:szCs w:val="32"/>
          <w:highlight w:val="none"/>
          <w:lang w:bidi="ar"/>
        </w:rPr>
        <w:t>（一）提交响应文件电子版一份及纸质版</w:t>
      </w:r>
      <w:r>
        <w:rPr>
          <w:rFonts w:hint="eastAsia" w:ascii="楷体" w:hAnsi="楷体" w:eastAsia="楷体" w:cs="楷体"/>
          <w:sz w:val="32"/>
          <w:szCs w:val="32"/>
          <w:highlight w:val="none"/>
          <w:lang w:val="en-US" w:eastAsia="zh-CN" w:bidi="ar"/>
        </w:rPr>
        <w:t>一式三份</w:t>
      </w:r>
      <w:r>
        <w:rPr>
          <w:rFonts w:hint="eastAsia" w:ascii="楷体" w:hAnsi="楷体" w:eastAsia="楷体" w:cs="楷体"/>
          <w:sz w:val="32"/>
          <w:szCs w:val="32"/>
          <w:highlight w:val="none"/>
          <w:lang w:bidi="ar"/>
        </w:rPr>
        <w:t>。</w:t>
      </w:r>
    </w:p>
    <w:p w14:paraId="1304A4C1">
      <w:pPr>
        <w:spacing w:line="60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（二）响应文件电子版提交的邮箱地址：</w:t>
      </w:r>
      <w:r>
        <w:rPr>
          <w:rFonts w:hint="eastAsia" w:ascii="仿宋" w:hAnsi="仿宋" w:eastAsia="仿宋" w:cs="仿宋"/>
          <w:sz w:val="32"/>
          <w:szCs w:val="32"/>
          <w:highlight w:val="none"/>
        </w:rPr>
        <w:t>qzgkaj2016@163.com</w:t>
      </w:r>
      <w:r>
        <w:rPr>
          <w:rFonts w:hint="eastAsia" w:ascii="仿宋" w:hAnsi="仿宋" w:eastAsia="仿宋" w:cs="仿宋"/>
          <w:sz w:val="32"/>
          <w:szCs w:val="32"/>
          <w:highlight w:val="none"/>
          <w:lang w:bidi="ar"/>
        </w:rPr>
        <w:t>；响应文件纸质版文件提交的地址：广西壮族自治区北部湾港口管理局钦州分局（钦州市钦州港融和大街20号）415号办公室。</w:t>
      </w:r>
    </w:p>
    <w:p w14:paraId="35148B69">
      <w:pPr>
        <w:spacing w:line="600" w:lineRule="exact"/>
        <w:ind w:firstLine="640" w:firstLineChars="200"/>
        <w:rPr>
          <w:rFonts w:ascii="仿宋" w:hAnsi="仿宋" w:eastAsia="仿宋" w:cs="仿宋"/>
          <w:sz w:val="32"/>
          <w:szCs w:val="32"/>
          <w:highlight w:val="none"/>
          <w:lang w:bidi="ar"/>
        </w:rPr>
      </w:pPr>
      <w:r>
        <w:rPr>
          <w:rFonts w:hint="eastAsia" w:ascii="楷体" w:hAnsi="楷体" w:eastAsia="楷体" w:cs="楷体"/>
          <w:sz w:val="32"/>
          <w:szCs w:val="32"/>
          <w:highlight w:val="none"/>
          <w:lang w:bidi="ar"/>
        </w:rPr>
        <w:t>（三）响应文件提交截止时间：自公告发布之日起11个日历天</w:t>
      </w:r>
      <w:r>
        <w:rPr>
          <w:rFonts w:hint="eastAsia" w:ascii="仿宋" w:hAnsi="仿宋" w:eastAsia="仿宋" w:cs="仿宋"/>
          <w:sz w:val="32"/>
          <w:szCs w:val="32"/>
          <w:highlight w:val="none"/>
          <w:lang w:bidi="ar"/>
        </w:rPr>
        <w:t>。到达截止时间报名供应商不足3家的，将继续发布延期公告，延期公告时间自发布公告之日起3个日历天，延期后仍不足3家的，则在已经递交响应文件的供应商中进行评审确定中标供应商。</w:t>
      </w:r>
    </w:p>
    <w:p w14:paraId="32D212D9">
      <w:pPr>
        <w:spacing w:line="600" w:lineRule="exact"/>
        <w:ind w:firstLine="472" w:firstLineChars="147"/>
        <w:rPr>
          <w:rFonts w:ascii="黑体" w:hAnsi="黑体" w:eastAsia="黑体" w:cs="黑体"/>
          <w:sz w:val="32"/>
          <w:szCs w:val="32"/>
          <w:highlight w:val="none"/>
        </w:rPr>
      </w:pPr>
      <w:r>
        <w:rPr>
          <w:rFonts w:hint="eastAsia" w:ascii="黑体" w:hAnsi="黑体" w:eastAsia="黑体" w:cs="黑体"/>
          <w:b/>
          <w:sz w:val="32"/>
          <w:szCs w:val="32"/>
          <w:highlight w:val="none"/>
        </w:rPr>
        <w:t>五、</w:t>
      </w:r>
      <w:r>
        <w:rPr>
          <w:rFonts w:hint="eastAsia" w:ascii="黑体" w:hAnsi="黑体" w:eastAsia="黑体" w:cs="黑体"/>
          <w:sz w:val="32"/>
          <w:szCs w:val="32"/>
          <w:highlight w:val="none"/>
        </w:rPr>
        <w:t xml:space="preserve">其他补充事宜 </w:t>
      </w:r>
    </w:p>
    <w:p w14:paraId="5E452B6A">
      <w:pPr>
        <w:spacing w:line="600" w:lineRule="exact"/>
        <w:ind w:firstLine="470" w:firstLineChars="147"/>
        <w:rPr>
          <w:rFonts w:ascii="仿宋" w:hAnsi="仿宋" w:eastAsia="仿宋" w:cs="仿宋"/>
          <w:sz w:val="32"/>
          <w:szCs w:val="32"/>
          <w:highlight w:val="none"/>
        </w:rPr>
      </w:pPr>
      <w:r>
        <w:rPr>
          <w:rFonts w:hint="eastAsia" w:ascii="仿宋" w:hAnsi="仿宋" w:eastAsia="仿宋" w:cs="仿宋"/>
          <w:sz w:val="32"/>
          <w:szCs w:val="32"/>
          <w:highlight w:val="none"/>
        </w:rPr>
        <w:t xml:space="preserve">供应商竞标注意事项 </w:t>
      </w:r>
    </w:p>
    <w:p w14:paraId="710C088A">
      <w:pPr>
        <w:spacing w:line="560" w:lineRule="exact"/>
        <w:ind w:firstLine="640" w:firstLineChars="200"/>
        <w:rPr>
          <w:rFonts w:hint="eastAsia" w:ascii="仿宋" w:hAnsi="仿宋" w:eastAsia="仿宋" w:cs="仿宋"/>
          <w:sz w:val="32"/>
          <w:szCs w:val="32"/>
          <w:highlight w:val="none"/>
          <w:lang w:bidi="ar"/>
        </w:rPr>
      </w:pPr>
      <w:r>
        <w:rPr>
          <w:rFonts w:hint="eastAsia" w:ascii="仿宋" w:hAnsi="仿宋" w:eastAsia="仿宋" w:cs="仿宋"/>
          <w:sz w:val="32"/>
          <w:szCs w:val="32"/>
          <w:highlight w:val="none"/>
          <w:lang w:eastAsia="zh-CN" w:bidi="ar"/>
        </w:rPr>
        <w:t>（</w:t>
      </w:r>
      <w:r>
        <w:rPr>
          <w:rFonts w:hint="eastAsia" w:ascii="仿宋" w:hAnsi="仿宋" w:eastAsia="仿宋" w:cs="仿宋"/>
          <w:sz w:val="32"/>
          <w:szCs w:val="32"/>
          <w:highlight w:val="none"/>
          <w:lang w:val="en-US" w:eastAsia="zh-CN" w:bidi="ar"/>
        </w:rPr>
        <w:t>1</w:t>
      </w:r>
      <w:r>
        <w:rPr>
          <w:rFonts w:hint="eastAsia" w:ascii="仿宋" w:hAnsi="仿宋" w:eastAsia="仿宋" w:cs="仿宋"/>
          <w:sz w:val="32"/>
          <w:szCs w:val="32"/>
          <w:highlight w:val="none"/>
          <w:lang w:eastAsia="zh-CN" w:bidi="ar"/>
        </w:rPr>
        <w:t>）</w:t>
      </w:r>
      <w:r>
        <w:rPr>
          <w:rFonts w:hint="eastAsia" w:ascii="仿宋" w:hAnsi="仿宋" w:eastAsia="仿宋" w:cs="仿宋"/>
          <w:sz w:val="32"/>
          <w:szCs w:val="32"/>
          <w:highlight w:val="none"/>
          <w:lang w:bidi="ar"/>
        </w:rPr>
        <w:t xml:space="preserve">投标文件必须密封，否则按废标处理。 </w:t>
      </w:r>
    </w:p>
    <w:p w14:paraId="33ADCFB8">
      <w:pPr>
        <w:spacing w:line="560" w:lineRule="exact"/>
        <w:ind w:firstLine="640" w:firstLineChars="200"/>
        <w:rPr>
          <w:rFonts w:hint="eastAsia" w:ascii="仿宋" w:hAnsi="仿宋" w:eastAsia="仿宋" w:cs="仿宋"/>
          <w:sz w:val="32"/>
          <w:szCs w:val="32"/>
          <w:highlight w:val="none"/>
          <w:lang w:bidi="ar"/>
        </w:rPr>
      </w:pPr>
      <w:r>
        <w:rPr>
          <w:rFonts w:hint="eastAsia" w:ascii="仿宋" w:hAnsi="仿宋" w:eastAsia="仿宋" w:cs="仿宋"/>
          <w:sz w:val="32"/>
          <w:szCs w:val="32"/>
          <w:highlight w:val="none"/>
          <w:lang w:bidi="ar"/>
        </w:rPr>
        <w:t>（</w:t>
      </w:r>
      <w:r>
        <w:rPr>
          <w:rFonts w:hint="eastAsia" w:ascii="仿宋" w:hAnsi="仿宋" w:eastAsia="仿宋" w:cs="仿宋"/>
          <w:sz w:val="32"/>
          <w:szCs w:val="32"/>
          <w:highlight w:val="none"/>
          <w:lang w:val="en-US" w:eastAsia="zh-CN" w:bidi="ar"/>
        </w:rPr>
        <w:t>2</w:t>
      </w:r>
      <w:r>
        <w:rPr>
          <w:rFonts w:hint="eastAsia" w:ascii="仿宋" w:hAnsi="仿宋" w:eastAsia="仿宋" w:cs="仿宋"/>
          <w:sz w:val="32"/>
          <w:szCs w:val="32"/>
          <w:highlight w:val="none"/>
          <w:lang w:bidi="ar"/>
        </w:rPr>
        <w:t xml:space="preserve">）投标文件必须满足采购文件内的要求，否则按废标、无效处理。 </w:t>
      </w:r>
    </w:p>
    <w:p w14:paraId="11CCB75B">
      <w:pPr>
        <w:spacing w:line="600" w:lineRule="exact"/>
        <w:ind w:firstLine="472" w:firstLineChars="147"/>
        <w:rPr>
          <w:rFonts w:ascii="黑体" w:hAnsi="黑体" w:eastAsia="黑体" w:cs="黑体"/>
          <w:b/>
          <w:sz w:val="32"/>
          <w:szCs w:val="32"/>
          <w:highlight w:val="none"/>
        </w:rPr>
      </w:pPr>
      <w:r>
        <w:rPr>
          <w:rFonts w:hint="eastAsia" w:ascii="黑体" w:hAnsi="黑体" w:eastAsia="黑体" w:cs="黑体"/>
          <w:b/>
          <w:sz w:val="32"/>
          <w:szCs w:val="32"/>
          <w:highlight w:val="none"/>
        </w:rPr>
        <w:t>六、联系方式</w:t>
      </w:r>
    </w:p>
    <w:p w14:paraId="1C56BB10">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联系人：刘小麦  联系电话：0777-3888162。</w:t>
      </w:r>
    </w:p>
    <w:p w14:paraId="116B07FF">
      <w:pPr>
        <w:widowControl/>
        <w:spacing w:line="600" w:lineRule="exact"/>
        <w:ind w:firstLine="640" w:firstLineChars="2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 xml:space="preserve">                           </w:t>
      </w:r>
    </w:p>
    <w:p w14:paraId="5BD05E73">
      <w:pPr>
        <w:widowControl/>
        <w:spacing w:line="600" w:lineRule="exact"/>
        <w:ind w:firstLine="960" w:firstLineChars="3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采购人：广西壮族自治区北部湾港口管理局钦州分局</w:t>
      </w:r>
    </w:p>
    <w:p w14:paraId="2DACC995">
      <w:pPr>
        <w:spacing w:line="600" w:lineRule="exact"/>
        <w:ind w:firstLine="640" w:firstLineChars="200"/>
        <w:jc w:val="left"/>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 xml:space="preserve">                    2025年</w:t>
      </w:r>
      <w:r>
        <w:rPr>
          <w:rFonts w:hint="eastAsia" w:ascii="仿宋" w:hAnsi="仿宋" w:eastAsia="仿宋" w:cs="仿宋"/>
          <w:sz w:val="32"/>
          <w:szCs w:val="32"/>
          <w:highlight w:val="none"/>
          <w:lang w:val="en-US" w:eastAsia="zh-CN" w:bidi="ar"/>
        </w:rPr>
        <w:t>8</w:t>
      </w:r>
      <w:r>
        <w:rPr>
          <w:rFonts w:hint="eastAsia" w:ascii="仿宋" w:hAnsi="仿宋" w:eastAsia="仿宋" w:cs="仿宋"/>
          <w:sz w:val="32"/>
          <w:szCs w:val="32"/>
          <w:highlight w:val="none"/>
          <w:lang w:bidi="ar"/>
        </w:rPr>
        <w:t>月</w:t>
      </w:r>
      <w:r>
        <w:rPr>
          <w:rFonts w:hint="eastAsia" w:ascii="仿宋" w:hAnsi="仿宋" w:eastAsia="仿宋" w:cs="仿宋"/>
          <w:sz w:val="32"/>
          <w:szCs w:val="32"/>
          <w:highlight w:val="none"/>
          <w:lang w:val="en-US" w:eastAsia="zh-CN" w:bidi="ar"/>
        </w:rPr>
        <w:t>6</w:t>
      </w:r>
      <w:r>
        <w:rPr>
          <w:rFonts w:hint="eastAsia" w:ascii="仿宋" w:hAnsi="仿宋" w:eastAsia="仿宋" w:cs="仿宋"/>
          <w:sz w:val="32"/>
          <w:szCs w:val="32"/>
          <w:highlight w:val="none"/>
          <w:lang w:bidi="ar"/>
        </w:rPr>
        <w:t>日</w:t>
      </w:r>
    </w:p>
    <w:p w14:paraId="350D9505">
      <w:pPr>
        <w:spacing w:line="600" w:lineRule="exact"/>
        <w:jc w:val="center"/>
        <w:rPr>
          <w:rFonts w:ascii="仿宋" w:hAnsi="仿宋" w:eastAsia="仿宋" w:cs="仿宋"/>
          <w:b/>
          <w:sz w:val="32"/>
          <w:szCs w:val="32"/>
          <w:highlight w:val="none"/>
        </w:rPr>
      </w:pPr>
    </w:p>
    <w:p w14:paraId="21E5896C">
      <w:pPr>
        <w:pStyle w:val="17"/>
        <w:spacing w:line="600" w:lineRule="exact"/>
        <w:ind w:firstLine="723"/>
        <w:rPr>
          <w:rFonts w:ascii="仿宋" w:hAnsi="仿宋" w:eastAsia="仿宋" w:cs="仿宋"/>
          <w:b/>
          <w:color w:val="auto"/>
          <w:sz w:val="32"/>
          <w:szCs w:val="32"/>
          <w:highlight w:val="none"/>
        </w:rPr>
      </w:pPr>
    </w:p>
    <w:p w14:paraId="53F8E41E">
      <w:pPr>
        <w:pStyle w:val="2"/>
        <w:spacing w:line="600" w:lineRule="exact"/>
        <w:rPr>
          <w:rFonts w:ascii="黑体" w:hAnsi="黑体" w:eastAsia="黑体"/>
          <w:b/>
          <w:color w:val="auto"/>
          <w:highlight w:val="none"/>
        </w:rPr>
      </w:pPr>
    </w:p>
    <w:p w14:paraId="547B877E">
      <w:pPr>
        <w:spacing w:line="600" w:lineRule="exact"/>
        <w:rPr>
          <w:rFonts w:ascii="黑体" w:hAnsi="黑体" w:eastAsia="黑体"/>
          <w:b/>
          <w:sz w:val="24"/>
          <w:highlight w:val="none"/>
        </w:rPr>
      </w:pPr>
    </w:p>
    <w:p w14:paraId="3D9667EC">
      <w:pPr>
        <w:pStyle w:val="2"/>
        <w:spacing w:line="600" w:lineRule="exact"/>
        <w:rPr>
          <w:rFonts w:ascii="黑体" w:hAnsi="黑体" w:eastAsia="黑体"/>
          <w:b/>
          <w:color w:val="auto"/>
          <w:highlight w:val="none"/>
        </w:rPr>
      </w:pPr>
    </w:p>
    <w:p w14:paraId="7416A424">
      <w:pPr>
        <w:rPr>
          <w:rFonts w:ascii="黑体" w:hAnsi="黑体" w:eastAsia="黑体"/>
          <w:b/>
          <w:color w:val="auto"/>
          <w:highlight w:val="none"/>
        </w:rPr>
      </w:pPr>
    </w:p>
    <w:p w14:paraId="01FB0459">
      <w:pPr>
        <w:pStyle w:val="2"/>
      </w:pPr>
    </w:p>
    <w:p w14:paraId="4B9CF0BD">
      <w:pPr>
        <w:spacing w:line="600" w:lineRule="exact"/>
        <w:rPr>
          <w:rFonts w:ascii="黑体" w:hAnsi="黑体" w:eastAsia="黑体"/>
          <w:b/>
          <w:sz w:val="24"/>
          <w:highlight w:val="none"/>
        </w:rPr>
      </w:pPr>
    </w:p>
    <w:p w14:paraId="6F5E6DAE">
      <w:pPr>
        <w:pStyle w:val="2"/>
        <w:spacing w:line="600" w:lineRule="exact"/>
        <w:rPr>
          <w:rFonts w:ascii="黑体" w:hAnsi="黑体" w:eastAsia="黑体"/>
          <w:b/>
          <w:color w:val="auto"/>
          <w:highlight w:val="none"/>
        </w:rPr>
      </w:pPr>
    </w:p>
    <w:p w14:paraId="1FF46FA7">
      <w:pPr>
        <w:spacing w:line="600" w:lineRule="exact"/>
        <w:rPr>
          <w:rFonts w:ascii="黑体" w:hAnsi="黑体" w:eastAsia="黑体"/>
          <w:b/>
          <w:sz w:val="24"/>
          <w:highlight w:val="none"/>
        </w:rPr>
      </w:pPr>
    </w:p>
    <w:p w14:paraId="0B9642E7">
      <w:pPr>
        <w:pStyle w:val="2"/>
        <w:spacing w:line="600" w:lineRule="exact"/>
        <w:rPr>
          <w:highlight w:val="none"/>
        </w:rPr>
      </w:pPr>
    </w:p>
    <w:p w14:paraId="44096B1E">
      <w:pPr>
        <w:spacing w:line="600" w:lineRule="exact"/>
        <w:ind w:firstLine="354" w:firstLineChars="147"/>
        <w:rPr>
          <w:rFonts w:ascii="黑体" w:hAnsi="黑体" w:eastAsia="黑体"/>
          <w:b/>
          <w:sz w:val="24"/>
          <w:highlight w:val="none"/>
        </w:rPr>
      </w:pPr>
    </w:p>
    <w:p w14:paraId="510413B2">
      <w:pPr>
        <w:pStyle w:val="2"/>
        <w:rPr>
          <w:rFonts w:ascii="黑体" w:hAnsi="黑体" w:eastAsia="黑体"/>
          <w:b/>
          <w:color w:val="auto"/>
          <w:highlight w:val="none"/>
        </w:rPr>
      </w:pPr>
    </w:p>
    <w:p w14:paraId="30B77EF0">
      <w:pPr>
        <w:rPr>
          <w:rFonts w:ascii="黑体" w:hAnsi="黑体" w:eastAsia="黑体"/>
          <w:b/>
          <w:sz w:val="24"/>
          <w:highlight w:val="none"/>
        </w:rPr>
      </w:pPr>
    </w:p>
    <w:p w14:paraId="3D9701E8">
      <w:pPr>
        <w:pStyle w:val="2"/>
        <w:rPr>
          <w:rFonts w:ascii="黑体" w:hAnsi="黑体" w:eastAsia="黑体"/>
          <w:b/>
          <w:color w:val="auto"/>
          <w:highlight w:val="none"/>
        </w:rPr>
      </w:pPr>
    </w:p>
    <w:bookmarkEnd w:id="2"/>
    <w:bookmarkEnd w:id="3"/>
    <w:bookmarkEnd w:id="4"/>
    <w:bookmarkEnd w:id="5"/>
    <w:bookmarkEnd w:id="6"/>
    <w:bookmarkEnd w:id="7"/>
    <w:bookmarkEnd w:id="8"/>
    <w:p w14:paraId="54D9895D">
      <w:pPr>
        <w:pStyle w:val="3"/>
        <w:spacing w:before="0" w:after="0" w:line="600" w:lineRule="exact"/>
        <w:jc w:val="center"/>
        <w:rPr>
          <w:rFonts w:ascii="方正小标宋_GBK" w:hAnsi="方正小标宋_GBK" w:eastAsia="方正小标宋_GBK" w:cs="方正小标宋_GBK"/>
          <w:highlight w:val="none"/>
        </w:rPr>
      </w:pPr>
      <w:bookmarkStart w:id="9" w:name="_Toc16740"/>
      <w:bookmarkStart w:id="10" w:name="_Toc31261"/>
      <w:r>
        <w:rPr>
          <w:rFonts w:hint="eastAsia" w:ascii="方正小标宋_GBK" w:hAnsi="方正小标宋_GBK" w:eastAsia="方正小标宋_GBK" w:cs="方正小标宋_GBK"/>
          <w:highlight w:val="none"/>
        </w:rPr>
        <w:t>第二章 供应商须知</w:t>
      </w:r>
      <w:bookmarkEnd w:id="9"/>
      <w:bookmarkEnd w:id="10"/>
    </w:p>
    <w:p w14:paraId="2F0C5E98">
      <w:pPr>
        <w:spacing w:line="600" w:lineRule="exact"/>
        <w:jc w:val="center"/>
        <w:rPr>
          <w:rFonts w:ascii="仿宋" w:hAnsi="仿宋" w:eastAsia="仿宋" w:cs="仿宋"/>
          <w:b/>
          <w:sz w:val="32"/>
          <w:szCs w:val="32"/>
          <w:highlight w:val="none"/>
        </w:rPr>
      </w:pPr>
    </w:p>
    <w:p w14:paraId="19CAB7A1">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一、本次采购采用总价包干，竞标报价包含但不限于资料收集、会议、差旅费、文印费、设备耗材费、税费及合同包含的所有风险、责任及措施等费用，包含为完成2025年北部湾港钦州港域港口设施保安演习（含</w:t>
      </w:r>
      <w:r>
        <w:rPr>
          <w:rFonts w:hint="eastAsia" w:ascii="仿宋" w:hAnsi="仿宋" w:eastAsia="仿宋" w:cs="仿宋"/>
          <w:bCs/>
          <w:sz w:val="32"/>
          <w:szCs w:val="32"/>
          <w:highlight w:val="none"/>
        </w:rPr>
        <w:t>预演2次、正</w:t>
      </w:r>
      <w:r>
        <w:rPr>
          <w:rFonts w:hint="eastAsia" w:ascii="仿宋" w:hAnsi="仿宋" w:eastAsia="仿宋" w:cs="仿宋"/>
          <w:sz w:val="32"/>
          <w:szCs w:val="32"/>
          <w:highlight w:val="none"/>
          <w:lang w:bidi="ar"/>
        </w:rPr>
        <w:t>演1次。）使用拖轮服务的全部工作以及可能发生的各种费用。本项目合同总价在合同执行过程中是固定的，不因情况变化而调整。</w:t>
      </w:r>
    </w:p>
    <w:p w14:paraId="7EACD503">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二、竞标报价为一次报价，此次报价即最终报价，不再就价格问题另行协商。</w:t>
      </w:r>
    </w:p>
    <w:p w14:paraId="62D3D5C9">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三、竞标报价不能超过采购公告规定的最高限价，超过最高限价作竞标无效处理。</w:t>
      </w:r>
    </w:p>
    <w:p w14:paraId="17445187">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四、报价应为含税价格，并且能够提供增值税发票。</w:t>
      </w:r>
    </w:p>
    <w:p w14:paraId="52B5D355">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五、供应商如需现场考察，可自行前往，费用自理。</w:t>
      </w:r>
    </w:p>
    <w:p w14:paraId="3A25A8D6">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六、供应商应针对本项目的特殊性和项目所在地的地理、人文、环境进行综合的评估，谨慎报价，合理安排各项工作。</w:t>
      </w:r>
    </w:p>
    <w:p w14:paraId="0BBF131E">
      <w:pPr>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七、响应文件应于采购公告规定的响应文件提交截止时间前提交，密封邮寄或亲自提交到广西壮族自治区北部湾港口管理局钦州分局（钦州市钦州港融和大街20号）415号办公室，逾期送达的，采购人将予以拒绝。</w:t>
      </w:r>
    </w:p>
    <w:p w14:paraId="1372E6F6">
      <w:pPr>
        <w:widowControl/>
        <w:spacing w:line="56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八、响应文件应按第五章响应文件格式要求编制。响应文件</w:t>
      </w:r>
      <w:r>
        <w:rPr>
          <w:rFonts w:hint="eastAsia" w:ascii="仿宋" w:hAnsi="仿宋" w:eastAsia="仿宋" w:cs="仿宋"/>
          <w:sz w:val="32"/>
          <w:szCs w:val="32"/>
          <w:highlight w:val="none"/>
          <w:lang w:val="en-US" w:eastAsia="zh-CN" w:bidi="ar"/>
        </w:rPr>
        <w:t>一式三份</w:t>
      </w:r>
      <w:r>
        <w:rPr>
          <w:rFonts w:hint="eastAsia" w:ascii="仿宋" w:hAnsi="仿宋" w:eastAsia="仿宋" w:cs="仿宋"/>
          <w:sz w:val="32"/>
          <w:szCs w:val="32"/>
          <w:highlight w:val="none"/>
          <w:lang w:bidi="ar"/>
        </w:rPr>
        <w:t>。</w:t>
      </w:r>
    </w:p>
    <w:p w14:paraId="47E8104E">
      <w:pPr>
        <w:pStyle w:val="3"/>
        <w:spacing w:before="0" w:after="0" w:line="600" w:lineRule="exact"/>
        <w:jc w:val="center"/>
        <w:rPr>
          <w:rFonts w:ascii="方正小标宋_GBK" w:hAnsi="方正小标宋_GBK" w:eastAsia="方正小标宋_GBK" w:cs="方正小标宋_GBK"/>
          <w:highlight w:val="none"/>
        </w:rPr>
      </w:pPr>
      <w:bookmarkStart w:id="11" w:name="_Toc2534"/>
      <w:bookmarkStart w:id="12" w:name="_Toc31960"/>
      <w:r>
        <w:rPr>
          <w:rFonts w:hint="eastAsia" w:ascii="方正小标宋_GBK" w:hAnsi="方正小标宋_GBK" w:eastAsia="方正小标宋_GBK" w:cs="方正小标宋_GBK"/>
          <w:highlight w:val="none"/>
        </w:rPr>
        <w:t>第三章 采购需求</w:t>
      </w:r>
      <w:bookmarkEnd w:id="11"/>
      <w:bookmarkEnd w:id="12"/>
    </w:p>
    <w:p w14:paraId="759F44B6">
      <w:pPr>
        <w:widowControl/>
        <w:spacing w:line="60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一、项目概况</w:t>
      </w:r>
    </w:p>
    <w:p w14:paraId="52852454">
      <w:pPr>
        <w:pStyle w:val="4"/>
        <w:spacing w:line="600" w:lineRule="exact"/>
        <w:ind w:firstLine="640" w:firstLineChars="200"/>
        <w:rPr>
          <w:rFonts w:ascii="仿宋" w:hAnsi="仿宋" w:eastAsia="仿宋" w:cs="仿宋"/>
          <w:sz w:val="32"/>
          <w:highlight w:val="none"/>
        </w:rPr>
      </w:pPr>
      <w:r>
        <w:rPr>
          <w:rFonts w:hint="eastAsia" w:ascii="仿宋" w:hAnsi="仿宋" w:eastAsia="仿宋" w:cs="仿宋"/>
          <w:b w:val="0"/>
          <w:sz w:val="32"/>
          <w:highlight w:val="none"/>
        </w:rPr>
        <w:t>为做好北部湾港钦州港域的港口设施保安应急处置工作，维护港口生产的平稳、健康、有序进行，提高港口经营人的港口保安人员履行保安职责，有效应对港口设施保安突发事件能力，根据《港口设施保安规则》，开展2025年北部湾港钦州港域港口设施保安演习。主要内容包括：预演及正式演习期间，为船舶提供包括但不限于协助船舶进出港、转向定位、顶推拖带等服务，确保演习安全高效完成。</w:t>
      </w:r>
    </w:p>
    <w:p w14:paraId="71D97481">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预算金额：4.4万元。</w:t>
      </w:r>
    </w:p>
    <w:p w14:paraId="5E86EA9C">
      <w:pPr>
        <w:widowControl/>
        <w:spacing w:line="60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二、采购项目服务内容</w:t>
      </w:r>
    </w:p>
    <w:p w14:paraId="1BA6CE44">
      <w:pPr>
        <w:spacing w:line="600" w:lineRule="exact"/>
        <w:ind w:firstLine="640" w:firstLineChars="200"/>
        <w:rPr>
          <w:rFonts w:ascii="仿宋" w:hAnsi="仿宋" w:eastAsia="仿宋" w:cs="仿宋"/>
          <w:bCs/>
          <w:sz w:val="32"/>
          <w:szCs w:val="32"/>
          <w:highlight w:val="none"/>
        </w:rPr>
      </w:pPr>
      <w:r>
        <w:rPr>
          <w:rFonts w:hint="eastAsia" w:ascii="仿宋" w:hAnsi="仿宋" w:eastAsia="仿宋" w:cs="仿宋"/>
          <w:bCs/>
          <w:sz w:val="32"/>
          <w:szCs w:val="32"/>
          <w:highlight w:val="none"/>
        </w:rPr>
        <w:t>拖轮租赁服务。本次演习需租赁2艘拖轮，单艘额定功率≥4000马力，具备良好的操纵性与稳定性，以满足5万吨级散货船（船长约189米）的靠离泊、护航、顶推等作业需求。预演及正式演习期间，累计使用拖轮4艘次。</w:t>
      </w:r>
    </w:p>
    <w:p w14:paraId="70F3A441">
      <w:pPr>
        <w:widowControl/>
        <w:spacing w:line="60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三、技术要求</w:t>
      </w:r>
    </w:p>
    <w:p w14:paraId="4F7495B1">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船舶证书、船员配置等符合交通运输部现行相关规定。</w:t>
      </w:r>
    </w:p>
    <w:p w14:paraId="2FA5BB89">
      <w:pPr>
        <w:widowControl/>
        <w:spacing w:line="600" w:lineRule="exact"/>
        <w:ind w:firstLine="640" w:firstLineChars="200"/>
        <w:rPr>
          <w:rFonts w:ascii="黑体" w:hAnsi="黑体" w:eastAsia="黑体" w:cs="黑体"/>
          <w:sz w:val="32"/>
          <w:szCs w:val="32"/>
          <w:highlight w:val="none"/>
          <w:lang w:bidi="ar"/>
        </w:rPr>
      </w:pPr>
      <w:r>
        <w:rPr>
          <w:rFonts w:hint="eastAsia" w:ascii="黑体" w:hAnsi="黑体" w:eastAsia="黑体" w:cs="黑体"/>
          <w:sz w:val="32"/>
          <w:szCs w:val="32"/>
          <w:highlight w:val="none"/>
          <w:lang w:bidi="ar"/>
        </w:rPr>
        <w:t>四、商务要求</w:t>
      </w:r>
    </w:p>
    <w:p w14:paraId="50ECA655">
      <w:pPr>
        <w:widowControl/>
        <w:spacing w:line="600" w:lineRule="exact"/>
        <w:ind w:firstLine="643" w:firstLineChars="200"/>
        <w:rPr>
          <w:rFonts w:ascii="楷体" w:hAnsi="楷体" w:eastAsia="楷体" w:cs="楷体"/>
          <w:b/>
          <w:bCs/>
          <w:sz w:val="32"/>
          <w:szCs w:val="32"/>
          <w:highlight w:val="none"/>
          <w:lang w:bidi="ar"/>
        </w:rPr>
      </w:pPr>
      <w:r>
        <w:rPr>
          <w:rFonts w:hint="eastAsia" w:ascii="楷体" w:hAnsi="楷体" w:eastAsia="楷体" w:cs="楷体"/>
          <w:b/>
          <w:bCs/>
          <w:sz w:val="32"/>
          <w:szCs w:val="32"/>
          <w:highlight w:val="none"/>
          <w:lang w:bidi="ar"/>
        </w:rPr>
        <w:t>（一）报价要求</w:t>
      </w:r>
    </w:p>
    <w:p w14:paraId="3138DE4D">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1.竞标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7D3D6CDC">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lang w:bidi="ar"/>
        </w:rPr>
        <w:t>2.本次采购采用总价包干，竞标报价包含但不限于资料收集、会议、差旅费、文印费、设备耗材费、税费及合同包含的所有风险、责任及措施等费用，包含为完成2025年北部湾港钦州港域港口设施保安演习使用拖轮服务的全部工作以及可能发生的各种费用。本项目合同总价在合同执行过程中是固定的，不因情况变化而调整。</w:t>
      </w:r>
    </w:p>
    <w:p w14:paraId="73631E15">
      <w:pPr>
        <w:pStyle w:val="2"/>
        <w:rPr>
          <w:rFonts w:ascii="仿宋" w:hAnsi="仿宋" w:eastAsia="仿宋" w:cs="仿宋"/>
          <w:color w:val="auto"/>
          <w:sz w:val="32"/>
          <w:szCs w:val="32"/>
          <w:highlight w:val="none"/>
          <w:lang w:bidi="ar"/>
        </w:rPr>
      </w:pPr>
    </w:p>
    <w:p w14:paraId="3E5B958A">
      <w:pPr>
        <w:rPr>
          <w:rFonts w:ascii="仿宋" w:hAnsi="仿宋" w:eastAsia="仿宋" w:cs="仿宋"/>
          <w:sz w:val="32"/>
          <w:szCs w:val="32"/>
          <w:highlight w:val="none"/>
          <w:lang w:bidi="ar"/>
        </w:rPr>
      </w:pPr>
    </w:p>
    <w:p w14:paraId="59CD5607">
      <w:pPr>
        <w:pStyle w:val="2"/>
        <w:rPr>
          <w:rFonts w:ascii="仿宋" w:hAnsi="仿宋" w:eastAsia="仿宋" w:cs="仿宋"/>
          <w:color w:val="auto"/>
          <w:sz w:val="32"/>
          <w:szCs w:val="32"/>
          <w:highlight w:val="none"/>
          <w:lang w:bidi="ar"/>
        </w:rPr>
      </w:pPr>
    </w:p>
    <w:p w14:paraId="3BE381BE">
      <w:pPr>
        <w:rPr>
          <w:rFonts w:ascii="仿宋" w:hAnsi="仿宋" w:eastAsia="仿宋" w:cs="仿宋"/>
          <w:sz w:val="32"/>
          <w:szCs w:val="32"/>
          <w:highlight w:val="none"/>
          <w:lang w:bidi="ar"/>
        </w:rPr>
      </w:pPr>
    </w:p>
    <w:p w14:paraId="5FE170CD">
      <w:pPr>
        <w:pStyle w:val="2"/>
        <w:rPr>
          <w:rFonts w:ascii="仿宋" w:hAnsi="仿宋" w:eastAsia="仿宋" w:cs="仿宋"/>
          <w:color w:val="auto"/>
          <w:sz w:val="32"/>
          <w:szCs w:val="32"/>
          <w:highlight w:val="none"/>
          <w:lang w:bidi="ar"/>
        </w:rPr>
      </w:pPr>
    </w:p>
    <w:p w14:paraId="0F9B7CD1">
      <w:pPr>
        <w:rPr>
          <w:rFonts w:ascii="仿宋" w:hAnsi="仿宋" w:eastAsia="仿宋" w:cs="仿宋"/>
          <w:sz w:val="32"/>
          <w:szCs w:val="32"/>
          <w:highlight w:val="none"/>
          <w:lang w:bidi="ar"/>
        </w:rPr>
      </w:pPr>
    </w:p>
    <w:p w14:paraId="4F8702A6">
      <w:pPr>
        <w:pStyle w:val="2"/>
        <w:rPr>
          <w:rFonts w:ascii="仿宋" w:hAnsi="仿宋" w:eastAsia="仿宋" w:cs="仿宋"/>
          <w:color w:val="auto"/>
          <w:sz w:val="32"/>
          <w:szCs w:val="32"/>
          <w:highlight w:val="none"/>
          <w:lang w:bidi="ar"/>
        </w:rPr>
      </w:pPr>
    </w:p>
    <w:p w14:paraId="693AA98F">
      <w:pPr>
        <w:rPr>
          <w:rFonts w:ascii="仿宋" w:hAnsi="仿宋" w:eastAsia="仿宋" w:cs="仿宋"/>
          <w:sz w:val="32"/>
          <w:szCs w:val="32"/>
          <w:highlight w:val="none"/>
          <w:lang w:bidi="ar"/>
        </w:rPr>
      </w:pPr>
    </w:p>
    <w:p w14:paraId="1F28C65F">
      <w:pPr>
        <w:pStyle w:val="2"/>
        <w:rPr>
          <w:rFonts w:ascii="仿宋" w:hAnsi="仿宋" w:eastAsia="仿宋" w:cs="仿宋"/>
          <w:color w:val="auto"/>
          <w:sz w:val="32"/>
          <w:szCs w:val="32"/>
          <w:highlight w:val="none"/>
          <w:lang w:bidi="ar"/>
        </w:rPr>
      </w:pPr>
    </w:p>
    <w:p w14:paraId="6E4F99B2">
      <w:pPr>
        <w:rPr>
          <w:rFonts w:ascii="仿宋" w:hAnsi="仿宋" w:eastAsia="仿宋" w:cs="仿宋"/>
          <w:sz w:val="32"/>
          <w:szCs w:val="32"/>
          <w:highlight w:val="none"/>
          <w:lang w:bidi="ar"/>
        </w:rPr>
      </w:pPr>
    </w:p>
    <w:p w14:paraId="18A0570D">
      <w:pPr>
        <w:pStyle w:val="2"/>
        <w:rPr>
          <w:rFonts w:ascii="仿宋" w:hAnsi="仿宋" w:eastAsia="仿宋" w:cs="仿宋"/>
          <w:color w:val="auto"/>
          <w:sz w:val="32"/>
          <w:szCs w:val="32"/>
          <w:highlight w:val="none"/>
          <w:lang w:bidi="ar"/>
        </w:rPr>
      </w:pPr>
    </w:p>
    <w:p w14:paraId="0DD1FF68">
      <w:pPr>
        <w:rPr>
          <w:highlight w:val="none"/>
        </w:rPr>
      </w:pPr>
    </w:p>
    <w:p w14:paraId="39A1B346">
      <w:pPr>
        <w:pStyle w:val="3"/>
        <w:spacing w:before="0" w:after="0" w:line="600" w:lineRule="exact"/>
        <w:jc w:val="center"/>
        <w:rPr>
          <w:rFonts w:ascii="方正小标宋_GBK" w:hAnsi="方正小标宋_GBK" w:eastAsia="方正小标宋_GBK" w:cs="方正小标宋_GBK"/>
          <w:highlight w:val="none"/>
        </w:rPr>
      </w:pPr>
      <w:bookmarkStart w:id="13" w:name="_Toc6863"/>
      <w:bookmarkStart w:id="14" w:name="_Toc23331"/>
      <w:bookmarkStart w:id="15" w:name="_Toc12517"/>
      <w:r>
        <w:rPr>
          <w:rFonts w:hint="eastAsia" w:ascii="方正小标宋_GBK" w:hAnsi="方正小标宋_GBK" w:eastAsia="方正小标宋_GBK" w:cs="方正小标宋_GBK"/>
          <w:highlight w:val="none"/>
        </w:rPr>
        <w:t>第四章  评审办法</w:t>
      </w:r>
      <w:bookmarkEnd w:id="13"/>
      <w:bookmarkEnd w:id="14"/>
    </w:p>
    <w:p w14:paraId="6266899B">
      <w:pPr>
        <w:spacing w:line="600" w:lineRule="exact"/>
        <w:jc w:val="center"/>
        <w:outlineLvl w:val="1"/>
        <w:rPr>
          <w:rFonts w:ascii="仿宋" w:hAnsi="仿宋" w:eastAsia="仿宋" w:cs="仿宋"/>
          <w:b/>
          <w:sz w:val="32"/>
          <w:szCs w:val="32"/>
          <w:highlight w:val="none"/>
        </w:rPr>
      </w:pPr>
      <w:bookmarkStart w:id="16" w:name="_Toc28533"/>
      <w:bookmarkStart w:id="17" w:name="_Toc17459"/>
    </w:p>
    <w:bookmarkEnd w:id="15"/>
    <w:bookmarkEnd w:id="16"/>
    <w:bookmarkEnd w:id="17"/>
    <w:p w14:paraId="3829A75E">
      <w:pPr>
        <w:spacing w:line="560" w:lineRule="exact"/>
        <w:jc w:val="center"/>
        <w:outlineLvl w:val="1"/>
        <w:rPr>
          <w:rFonts w:ascii="楷体" w:hAnsi="楷体" w:eastAsia="楷体" w:cs="楷体"/>
          <w:b/>
          <w:sz w:val="32"/>
          <w:szCs w:val="32"/>
          <w:highlight w:val="none"/>
        </w:rPr>
      </w:pPr>
      <w:r>
        <w:rPr>
          <w:rFonts w:hint="eastAsia" w:ascii="楷体" w:hAnsi="楷体" w:eastAsia="楷体" w:cs="楷体"/>
          <w:b/>
          <w:sz w:val="32"/>
          <w:szCs w:val="32"/>
          <w:highlight w:val="none"/>
        </w:rPr>
        <w:t>第一节  评审程序和评审方法</w:t>
      </w:r>
    </w:p>
    <w:p w14:paraId="61FE6CA4">
      <w:pPr>
        <w:spacing w:line="560" w:lineRule="exact"/>
        <w:ind w:firstLine="640" w:firstLineChars="200"/>
        <w:rPr>
          <w:rFonts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根据《中华人民共和国民法典》、 《广西壮族自治区港航发展中心自行采购管理办法》 及其他有关规定，采购人组建合议小组（评审小组）按本采购文件规定，对响应文件进行评审。</w:t>
      </w:r>
    </w:p>
    <w:p w14:paraId="5978BD24">
      <w:pPr>
        <w:spacing w:line="56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一、资格审查</w:t>
      </w:r>
    </w:p>
    <w:p w14:paraId="4BDABF40">
      <w:pPr>
        <w:snapToGrid w:val="0"/>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（一）评审小组依法对供应商的响应文件中资格证明文件进行审查。</w:t>
      </w:r>
    </w:p>
    <w:p w14:paraId="40C42154">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1.查询渠道：“信用中国”网站、中国政府采购网。</w:t>
      </w:r>
    </w:p>
    <w:p w14:paraId="4F5E67BB">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2.信用查询截止时点：资格审查结束前</w:t>
      </w:r>
    </w:p>
    <w:p w14:paraId="629E2A90">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3.查询记录和证据留存方式：将查询网站中的查询记录截图并作为评审资料保存。</w:t>
      </w:r>
    </w:p>
    <w:p w14:paraId="038FF3CE">
      <w:pPr>
        <w:snapToGrid w:val="0"/>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4.信用信息使用规则：对在“信用中国”网站、中国政府采购网被列入失信被执行人、重大税收违法案件当事人名单、政府采购严重违法失信行为记录名单及其他不符合《中华人民共和国政府采购法》第二十二条规定条件的供应商，不得参与政府采购活动。</w:t>
      </w:r>
    </w:p>
    <w:p w14:paraId="503B037D">
      <w:pPr>
        <w:snapToGrid w:val="0"/>
        <w:spacing w:line="560" w:lineRule="exact"/>
        <w:ind w:firstLine="640" w:firstLineChars="200"/>
        <w:jc w:val="left"/>
        <w:rPr>
          <w:rFonts w:hint="eastAsia" w:ascii="楷体" w:hAnsi="楷体" w:eastAsia="楷体" w:cs="楷体"/>
          <w:sz w:val="32"/>
          <w:szCs w:val="32"/>
          <w:highlight w:val="none"/>
        </w:rPr>
      </w:pPr>
      <w:r>
        <w:rPr>
          <w:rFonts w:hint="eastAsia" w:ascii="楷体" w:hAnsi="楷体" w:eastAsia="楷体" w:cs="楷体"/>
          <w:sz w:val="32"/>
          <w:szCs w:val="32"/>
          <w:highlight w:val="none"/>
        </w:rPr>
        <w:t>（二)资格审查标准为本采购文件中载明对供应商资格要求的条件。资格审查采用合格制，凡符合采购文件规定的供应商资格要求的响应文件均通过资格审查。</w:t>
      </w:r>
    </w:p>
    <w:p w14:paraId="70763F2D">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(三)凡是不满足资格审查中的任意一条，均为不通过资格审查。</w:t>
      </w:r>
    </w:p>
    <w:p w14:paraId="7C6F512A">
      <w:pPr>
        <w:spacing w:line="56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(四)如果通过资格审查的投标供应商不足三家：</w:t>
      </w:r>
    </w:p>
    <w:p w14:paraId="553DC1C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1.延长采购公告时间，延期3天。</w:t>
      </w:r>
    </w:p>
    <w:p w14:paraId="58A65B42">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2.延期时间截止，响应供应商为2家或2家以上的，按照正常采购流程开展。</w:t>
      </w:r>
    </w:p>
    <w:p w14:paraId="353E7D78">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3.延期时间截止，响应供应商为1家的，由甲方成立合议小组审核供应商投标文件，确定满足采购方案的条件后，组成谈判小组与供应商谈判。根据甲方内部程序，确定中标人，签订采购合同、支付合同款等。</w:t>
      </w:r>
    </w:p>
    <w:p w14:paraId="5F5E9960">
      <w:pPr>
        <w:spacing w:line="60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二、符合性审查</w:t>
      </w:r>
    </w:p>
    <w:p w14:paraId="5DE0A704">
      <w:pPr>
        <w:spacing w:line="600" w:lineRule="exact"/>
        <w:ind w:firstLine="640" w:firstLineChars="200"/>
        <w:rPr>
          <w:rFonts w:hint="eastAsia" w:ascii="楷体" w:hAnsi="楷体" w:eastAsia="楷体" w:cs="楷体"/>
          <w:sz w:val="32"/>
          <w:szCs w:val="32"/>
          <w:highlight w:val="none"/>
        </w:rPr>
      </w:pPr>
      <w:bookmarkStart w:id="18" w:name="_Hlk42528882"/>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lang w:val="en-US" w:eastAsia="zh-CN"/>
        </w:rPr>
        <w:t>一</w:t>
      </w: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rPr>
        <w:t>由评审小组对资格审查的合格供应商的响应文件进行符合性审查，以确定其是否满足采购文件的实质性要求。</w:t>
      </w:r>
    </w:p>
    <w:p w14:paraId="75E2B057">
      <w:pPr>
        <w:spacing w:line="600" w:lineRule="exact"/>
        <w:ind w:firstLine="640" w:firstLineChars="200"/>
        <w:rPr>
          <w:rFonts w:ascii="楷体" w:hAnsi="楷体" w:eastAsia="楷体" w:cs="楷体"/>
          <w:sz w:val="32"/>
          <w:szCs w:val="32"/>
          <w:highlight w:val="none"/>
        </w:rPr>
      </w:pP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lang w:val="en-US" w:eastAsia="zh-CN"/>
        </w:rPr>
        <w:t>二</w:t>
      </w: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rPr>
        <w:t>在评审时，如发现下列情形之一的，将被视为响应文件无效响应处理：</w:t>
      </w:r>
    </w:p>
    <w:bookmarkEnd w:id="18"/>
    <w:p w14:paraId="288DE4F2">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响应文件未按采购文件要求签署、盖章；</w:t>
      </w:r>
    </w:p>
    <w:p w14:paraId="1851F6C5">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 xml:space="preserve">委托代理人未能出具有效身份证或者出具的身份证与授权委托书中的信息不符的； </w:t>
      </w:r>
    </w:p>
    <w:p w14:paraId="4B7F425D">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响应文件的实质性内容未使用中文表述、使用计量单位不符合采购文件要求；</w:t>
      </w:r>
    </w:p>
    <w:p w14:paraId="3D345834">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响应文件中的文件资料因填写不齐全或者内容虚假或者出现其他情形而导致被评审小组认定无效；</w:t>
      </w:r>
    </w:p>
    <w:p w14:paraId="7269835B">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响应文件含有采购人不能接受的附加条件；</w:t>
      </w:r>
    </w:p>
    <w:p w14:paraId="5E67A1E6">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虚假竞标，或者出现其他情形而导致被评审小组认定无效；</w:t>
      </w:r>
    </w:p>
    <w:p w14:paraId="2D804106">
      <w:pPr>
        <w:spacing w:line="600" w:lineRule="exact"/>
        <w:ind w:firstLine="640" w:firstLineChars="200"/>
        <w:rPr>
          <w:rFonts w:ascii="仿宋" w:hAnsi="仿宋" w:eastAsia="仿宋" w:cs="仿宋"/>
          <w:sz w:val="32"/>
          <w:szCs w:val="32"/>
          <w:highlight w:val="none"/>
        </w:rPr>
      </w:pPr>
      <w:bookmarkStart w:id="19" w:name="_Hlk71704147"/>
      <w:r>
        <w:rPr>
          <w:rFonts w:hint="eastAsia" w:ascii="仿宋" w:hAnsi="仿宋" w:eastAsia="仿宋" w:cs="仿宋"/>
          <w:sz w:val="32"/>
          <w:szCs w:val="32"/>
          <w:highlight w:val="none"/>
          <w:lang w:val="en-US" w:eastAsia="zh-CN"/>
        </w:rPr>
        <w:t>7.</w:t>
      </w:r>
      <w:r>
        <w:rPr>
          <w:rFonts w:hint="eastAsia" w:ascii="仿宋" w:hAnsi="仿宋" w:eastAsia="仿宋" w:cs="仿宋"/>
          <w:sz w:val="32"/>
          <w:szCs w:val="32"/>
          <w:highlight w:val="none"/>
        </w:rPr>
        <w:t>采购文件未载明允许提供备选（替代）竞标方案或明确不允许提供备选（替代）竞标方案时，供应商提供了备选（替代）竞标方案的；</w:t>
      </w:r>
      <w:bookmarkEnd w:id="19"/>
    </w:p>
    <w:p w14:paraId="1B2436DC">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响应文件标注的项目名称或者项目编号与采购文件标注的项目名称或者项目编号不一致的；</w:t>
      </w:r>
    </w:p>
    <w:p w14:paraId="21BD809E">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未响应采购文件实质性要求；</w:t>
      </w:r>
    </w:p>
    <w:p w14:paraId="0AEEC511">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法律、法规和采购文件规定的其他无效情形。</w:t>
      </w:r>
    </w:p>
    <w:p w14:paraId="1B9419DD">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11.</w:t>
      </w:r>
      <w:r>
        <w:rPr>
          <w:rFonts w:hint="eastAsia" w:ascii="仿宋" w:hAnsi="仿宋" w:eastAsia="仿宋" w:cs="仿宋"/>
          <w:sz w:val="32"/>
          <w:szCs w:val="32"/>
          <w:highlight w:val="none"/>
        </w:rPr>
        <w:t>响应文件未提供采购文件中规定的“竞标报价表”；</w:t>
      </w:r>
    </w:p>
    <w:p w14:paraId="26FB468D">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未采用人民币报价或者未按照采购文件标明的币种报价；</w:t>
      </w:r>
    </w:p>
    <w:p w14:paraId="23DC88F4">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13.</w:t>
      </w:r>
      <w:r>
        <w:rPr>
          <w:rFonts w:hint="eastAsia" w:ascii="仿宋" w:hAnsi="仿宋" w:eastAsia="仿宋" w:cs="仿宋"/>
          <w:sz w:val="32"/>
          <w:szCs w:val="32"/>
          <w:highlight w:val="none"/>
        </w:rPr>
        <w:t>供应商未就所竞标分标进行报价或者存在漏项报价；供应商未就所竞标分标的单项内容作唯一报价；供应商未就所竞标分标的全部内容作完整唯一总价报价；供应商响应文件中存在有选择、有条件报价的（采购文件允许有备选方案或者其他约定的除外）；</w:t>
      </w:r>
    </w:p>
    <w:p w14:paraId="7E5D3996">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rPr>
        <w:t>报价超过最高限价的（如本项目公布了最高限价）；</w:t>
      </w:r>
      <w:bookmarkStart w:id="20" w:name="_Hlk42596405"/>
      <w:r>
        <w:rPr>
          <w:rFonts w:hint="eastAsia" w:ascii="仿宋" w:hAnsi="仿宋" w:eastAsia="仿宋" w:cs="仿宋"/>
          <w:sz w:val="32"/>
          <w:szCs w:val="32"/>
          <w:highlight w:val="none"/>
        </w:rPr>
        <w:t xml:space="preserve"> </w:t>
      </w:r>
      <w:bookmarkEnd w:id="20"/>
    </w:p>
    <w:p w14:paraId="69185A8B">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15.</w:t>
      </w:r>
      <w:r>
        <w:rPr>
          <w:rFonts w:hint="eastAsia" w:ascii="仿宋" w:hAnsi="仿宋" w:eastAsia="仿宋" w:cs="仿宋"/>
          <w:sz w:val="32"/>
          <w:szCs w:val="32"/>
          <w:highlight w:val="none"/>
        </w:rPr>
        <w:t>修正后的报价，供应商不确认的；或者经供应商确认修正后的最后报价超过最高限价（如本项目公布了最高限价）；</w:t>
      </w:r>
    </w:p>
    <w:p w14:paraId="3ADC2869">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16.</w:t>
      </w:r>
      <w:r>
        <w:rPr>
          <w:rFonts w:hint="eastAsia" w:ascii="仿宋" w:hAnsi="仿宋" w:eastAsia="仿宋" w:cs="仿宋"/>
          <w:sz w:val="32"/>
          <w:szCs w:val="32"/>
          <w:highlight w:val="none"/>
        </w:rPr>
        <w:t>响应文件响应的标的数量及单位与采购文件要求实质性不一致的。</w:t>
      </w:r>
    </w:p>
    <w:p w14:paraId="6B633CC0">
      <w:pPr>
        <w:spacing w:line="60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三、评选方法</w:t>
      </w:r>
    </w:p>
    <w:p w14:paraId="218F035F">
      <w:pPr>
        <w:spacing w:line="60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按照《广西壮族自治区港航发展中心自行采购管理办法》，评审小组各成员对每个有效响应的文件按“货比三家，择优选择”的原则，在符合条件情况下以报价低者为成交供应商；在此基础上如价格相同的，以公司资质能力和信誉最优者为成交供应商。</w:t>
      </w:r>
    </w:p>
    <w:p w14:paraId="6D86F473">
      <w:pPr>
        <w:pStyle w:val="2"/>
        <w:spacing w:line="600" w:lineRule="exact"/>
        <w:rPr>
          <w:highlight w:val="none"/>
        </w:rPr>
      </w:pPr>
    </w:p>
    <w:p w14:paraId="00C361F8">
      <w:pPr>
        <w:spacing w:line="600" w:lineRule="exact"/>
        <w:rPr>
          <w:highlight w:val="none"/>
        </w:rPr>
      </w:pPr>
      <w:r>
        <w:rPr>
          <w:rFonts w:hint="eastAsia" w:ascii="仿宋" w:hAnsi="仿宋" w:eastAsia="仿宋" w:cs="仿宋"/>
          <w:b/>
          <w:sz w:val="32"/>
          <w:szCs w:val="32"/>
          <w:highlight w:val="none"/>
        </w:rPr>
        <w:br w:type="page"/>
      </w:r>
    </w:p>
    <w:p w14:paraId="7CD7E4B2">
      <w:pPr>
        <w:pStyle w:val="3"/>
        <w:spacing w:before="0" w:after="0" w:line="600" w:lineRule="exact"/>
        <w:jc w:val="center"/>
        <w:rPr>
          <w:rFonts w:ascii="方正小标宋_GBK" w:hAnsi="方正小标宋_GBK" w:eastAsia="方正小标宋_GBK" w:cs="方正小标宋_GBK"/>
          <w:highlight w:val="none"/>
        </w:rPr>
      </w:pPr>
      <w:bookmarkStart w:id="21" w:name="_Toc5116"/>
      <w:bookmarkStart w:id="22" w:name="_Toc29925"/>
    </w:p>
    <w:p w14:paraId="06BEB542">
      <w:pPr>
        <w:pStyle w:val="3"/>
        <w:spacing w:before="0" w:after="0" w:line="600" w:lineRule="exact"/>
        <w:jc w:val="center"/>
        <w:rPr>
          <w:rFonts w:ascii="方正小标宋_GBK" w:hAnsi="方正小标宋_GBK" w:eastAsia="方正小标宋_GBK" w:cs="方正小标宋_GBK"/>
          <w:highlight w:val="none"/>
        </w:rPr>
      </w:pPr>
      <w:r>
        <w:rPr>
          <w:rFonts w:hint="eastAsia" w:ascii="方正小标宋_GBK" w:hAnsi="方正小标宋_GBK" w:eastAsia="方正小标宋_GBK" w:cs="方正小标宋_GBK"/>
          <w:highlight w:val="none"/>
        </w:rPr>
        <w:t>第五章 响应文件格式</w:t>
      </w:r>
      <w:bookmarkEnd w:id="21"/>
      <w:bookmarkEnd w:id="22"/>
    </w:p>
    <w:p w14:paraId="6C0C227B">
      <w:pPr>
        <w:snapToGrid w:val="0"/>
        <w:spacing w:line="600" w:lineRule="exact"/>
        <w:rPr>
          <w:rFonts w:ascii="宋体" w:hAnsi="宋体"/>
          <w:bCs/>
          <w:sz w:val="32"/>
          <w:szCs w:val="20"/>
          <w:highlight w:val="none"/>
        </w:rPr>
      </w:pPr>
      <w:r>
        <w:rPr>
          <w:rFonts w:hint="eastAsia" w:ascii="宋体" w:hAnsi="宋体"/>
          <w:sz w:val="24"/>
          <w:highlight w:val="none"/>
        </w:rPr>
        <w:t xml:space="preserve">                                                    </w:t>
      </w:r>
    </w:p>
    <w:p w14:paraId="570136BB">
      <w:pPr>
        <w:snapToGrid w:val="0"/>
        <w:spacing w:line="600" w:lineRule="exact"/>
        <w:rPr>
          <w:rFonts w:ascii="宋体" w:hAnsi="宋体"/>
          <w:sz w:val="24"/>
          <w:szCs w:val="20"/>
          <w:highlight w:val="none"/>
        </w:rPr>
      </w:pPr>
    </w:p>
    <w:p w14:paraId="04FC5B87">
      <w:pPr>
        <w:adjustRightInd w:val="0"/>
        <w:snapToGrid w:val="0"/>
        <w:spacing w:line="600" w:lineRule="exact"/>
        <w:jc w:val="center"/>
        <w:rPr>
          <w:rFonts w:ascii="宋体" w:hAnsi="宋体" w:cs="宋体"/>
          <w:sz w:val="36"/>
          <w:szCs w:val="36"/>
          <w:highlight w:val="none"/>
        </w:rPr>
      </w:pPr>
      <w:r>
        <w:rPr>
          <w:rFonts w:hint="eastAsia" w:ascii="方正小标宋_GBK" w:hAnsi="方正小标宋_GBK" w:eastAsia="方正小标宋_GBK" w:cs="方正小标宋_GBK"/>
          <w:b/>
          <w:bCs/>
          <w:color w:val="000000"/>
          <w:kern w:val="0"/>
          <w:sz w:val="44"/>
          <w:szCs w:val="44"/>
          <w:highlight w:val="none"/>
        </w:rPr>
        <w:t>2025年北部湾港钦州港域港口设施保安演习</w:t>
      </w:r>
    </w:p>
    <w:p w14:paraId="1F659C79">
      <w:pPr>
        <w:snapToGrid w:val="0"/>
        <w:spacing w:line="920" w:lineRule="exact"/>
        <w:jc w:val="center"/>
        <w:rPr>
          <w:rFonts w:ascii="宋体" w:hAnsi="宋体" w:cs="宋体"/>
          <w:bCs/>
          <w:sz w:val="36"/>
          <w:szCs w:val="36"/>
          <w:highlight w:val="none"/>
        </w:rPr>
      </w:pPr>
    </w:p>
    <w:p w14:paraId="483E1CD6">
      <w:pPr>
        <w:snapToGrid w:val="0"/>
        <w:spacing w:line="1000" w:lineRule="exact"/>
        <w:jc w:val="center"/>
        <w:rPr>
          <w:rFonts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696CDF76">
      <w:pPr>
        <w:snapToGrid w:val="0"/>
        <w:spacing w:line="600" w:lineRule="exact"/>
        <w:jc w:val="center"/>
        <w:rPr>
          <w:rFonts w:ascii="方正小标宋简体" w:hAnsi="方正小标宋简体" w:eastAsia="方正小标宋简体" w:cs="方正小标宋简体"/>
          <w:bCs/>
          <w:sz w:val="44"/>
          <w:szCs w:val="44"/>
          <w:highlight w:val="none"/>
        </w:rPr>
      </w:pPr>
    </w:p>
    <w:p w14:paraId="77A864CB">
      <w:pPr>
        <w:snapToGrid w:val="0"/>
        <w:spacing w:line="600" w:lineRule="exact"/>
        <w:jc w:val="center"/>
        <w:rPr>
          <w:rFonts w:ascii="方正小标宋简体" w:hAnsi="方正小标宋简体" w:eastAsia="方正小标宋简体" w:cs="方正小标宋简体"/>
          <w:bCs/>
          <w:sz w:val="32"/>
          <w:szCs w:val="32"/>
          <w:highlight w:val="none"/>
        </w:rPr>
      </w:pPr>
    </w:p>
    <w:p w14:paraId="64596529">
      <w:pPr>
        <w:snapToGrid w:val="0"/>
        <w:spacing w:line="600" w:lineRule="exact"/>
        <w:rPr>
          <w:rFonts w:ascii="宋体" w:hAnsi="宋体"/>
          <w:bCs/>
          <w:sz w:val="24"/>
          <w:szCs w:val="20"/>
          <w:highlight w:val="none"/>
        </w:rPr>
      </w:pPr>
      <w:r>
        <w:rPr>
          <w:rFonts w:hint="eastAsia" w:ascii="宋体" w:hAnsi="宋体"/>
          <w:bCs/>
          <w:sz w:val="24"/>
          <w:szCs w:val="20"/>
          <w:highlight w:val="none"/>
        </w:rPr>
        <w:t xml:space="preserve"> </w:t>
      </w:r>
    </w:p>
    <w:p w14:paraId="5EE9A858">
      <w:pPr>
        <w:snapToGrid w:val="0"/>
        <w:spacing w:line="600" w:lineRule="exact"/>
        <w:ind w:firstLine="640" w:firstLineChars="200"/>
        <w:rPr>
          <w:rFonts w:ascii="宋体" w:hAnsi="宋体" w:cs="仿宋_GB2312"/>
          <w:bCs/>
          <w:sz w:val="32"/>
          <w:szCs w:val="32"/>
          <w:highlight w:val="none"/>
        </w:rPr>
      </w:pPr>
    </w:p>
    <w:p w14:paraId="53960211">
      <w:pPr>
        <w:snapToGrid w:val="0"/>
        <w:spacing w:line="600" w:lineRule="exact"/>
        <w:ind w:firstLine="720" w:firstLineChars="225"/>
        <w:rPr>
          <w:rFonts w:ascii="宋体" w:hAnsi="宋体" w:cs="仿宋_GB2312"/>
          <w:bCs/>
          <w:sz w:val="32"/>
          <w:szCs w:val="32"/>
          <w:highlight w:val="none"/>
        </w:rPr>
      </w:pPr>
    </w:p>
    <w:p w14:paraId="49F15595">
      <w:pPr>
        <w:snapToGrid w:val="0"/>
        <w:spacing w:line="600" w:lineRule="exact"/>
        <w:ind w:firstLine="720" w:firstLineChars="225"/>
        <w:rPr>
          <w:rFonts w:ascii="仿宋" w:hAnsi="仿宋" w:eastAsia="仿宋" w:cs="仿宋"/>
          <w:bCs/>
          <w:sz w:val="32"/>
          <w:szCs w:val="32"/>
          <w:highlight w:val="none"/>
        </w:rPr>
      </w:pPr>
      <w:r>
        <w:rPr>
          <w:rFonts w:hint="eastAsia" w:ascii="仿宋" w:hAnsi="仿宋" w:eastAsia="仿宋" w:cs="仿宋"/>
          <w:bCs/>
          <w:sz w:val="32"/>
          <w:szCs w:val="32"/>
          <w:highlight w:val="none"/>
        </w:rPr>
        <w:t>供应商名称：</w:t>
      </w:r>
      <w:r>
        <w:rPr>
          <w:rFonts w:hint="eastAsia" w:ascii="仿宋" w:hAnsi="仿宋" w:eastAsia="仿宋" w:cs="仿宋"/>
          <w:bCs/>
          <w:sz w:val="32"/>
          <w:szCs w:val="32"/>
          <w:highlight w:val="none"/>
          <w:u w:val="single"/>
        </w:rPr>
        <w:t xml:space="preserve">                         </w:t>
      </w:r>
      <w:r>
        <w:rPr>
          <w:rFonts w:hint="eastAsia" w:ascii="仿宋" w:hAnsi="仿宋" w:eastAsia="仿宋" w:cs="仿宋"/>
          <w:bCs/>
          <w:sz w:val="32"/>
          <w:szCs w:val="32"/>
          <w:highlight w:val="none"/>
        </w:rPr>
        <w:t>（盖单位公章）</w:t>
      </w:r>
    </w:p>
    <w:p w14:paraId="4E94A3C9">
      <w:pPr>
        <w:snapToGrid w:val="0"/>
        <w:spacing w:line="600" w:lineRule="exact"/>
        <w:ind w:firstLine="720" w:firstLineChars="225"/>
        <w:rPr>
          <w:rFonts w:ascii="仿宋" w:hAnsi="仿宋" w:eastAsia="仿宋" w:cs="仿宋"/>
          <w:bCs/>
          <w:sz w:val="32"/>
          <w:szCs w:val="32"/>
          <w:highlight w:val="none"/>
        </w:rPr>
      </w:pPr>
      <w:r>
        <w:rPr>
          <w:rFonts w:hint="eastAsia" w:ascii="仿宋" w:hAnsi="仿宋" w:eastAsia="仿宋" w:cs="仿宋"/>
          <w:bCs/>
          <w:sz w:val="32"/>
          <w:szCs w:val="32"/>
          <w:highlight w:val="none"/>
        </w:rPr>
        <w:t>法定代表人或其委托代理人：</w:t>
      </w:r>
      <w:r>
        <w:rPr>
          <w:rFonts w:hint="eastAsia" w:ascii="仿宋" w:hAnsi="仿宋" w:eastAsia="仿宋" w:cs="仿宋"/>
          <w:bCs/>
          <w:sz w:val="32"/>
          <w:szCs w:val="32"/>
          <w:highlight w:val="none"/>
          <w:u w:val="single"/>
        </w:rPr>
        <w:t xml:space="preserve">           </w:t>
      </w:r>
      <w:r>
        <w:rPr>
          <w:rFonts w:hint="eastAsia" w:ascii="仿宋" w:hAnsi="仿宋" w:eastAsia="仿宋" w:cs="仿宋"/>
          <w:bCs/>
          <w:sz w:val="32"/>
          <w:szCs w:val="32"/>
          <w:highlight w:val="none"/>
        </w:rPr>
        <w:t>（签字）</w:t>
      </w:r>
    </w:p>
    <w:p w14:paraId="60595A69">
      <w:pPr>
        <w:snapToGrid w:val="0"/>
        <w:spacing w:line="600" w:lineRule="exact"/>
        <w:ind w:firstLine="720" w:firstLineChars="225"/>
        <w:rPr>
          <w:rFonts w:ascii="仿宋" w:hAnsi="仿宋" w:eastAsia="仿宋" w:cs="仿宋"/>
          <w:bCs/>
          <w:sz w:val="32"/>
          <w:szCs w:val="32"/>
          <w:highlight w:val="none"/>
        </w:rPr>
      </w:pPr>
    </w:p>
    <w:p w14:paraId="2DEF553C">
      <w:pPr>
        <w:pStyle w:val="5"/>
        <w:snapToGrid w:val="0"/>
        <w:spacing w:line="600" w:lineRule="exact"/>
        <w:ind w:firstLine="720" w:firstLineChars="225"/>
        <w:rPr>
          <w:rFonts w:ascii="仿宋" w:hAnsi="仿宋" w:eastAsia="仿宋" w:cs="仿宋"/>
          <w:bCs/>
          <w:sz w:val="32"/>
          <w:szCs w:val="32"/>
          <w:highlight w:val="none"/>
        </w:rPr>
      </w:pPr>
    </w:p>
    <w:p w14:paraId="3B15EC25">
      <w:pPr>
        <w:pStyle w:val="5"/>
        <w:snapToGrid w:val="0"/>
        <w:spacing w:line="600" w:lineRule="exact"/>
        <w:ind w:firstLine="720" w:firstLineChars="225"/>
        <w:rPr>
          <w:rFonts w:ascii="仿宋" w:hAnsi="仿宋" w:eastAsia="仿宋" w:cs="仿宋"/>
          <w:bCs/>
          <w:sz w:val="32"/>
          <w:szCs w:val="32"/>
          <w:highlight w:val="none"/>
        </w:rPr>
      </w:pPr>
    </w:p>
    <w:p w14:paraId="19B15FE3">
      <w:pPr>
        <w:pStyle w:val="5"/>
        <w:snapToGrid w:val="0"/>
        <w:spacing w:line="600" w:lineRule="exact"/>
        <w:ind w:firstLine="720" w:firstLineChars="225"/>
        <w:rPr>
          <w:rFonts w:ascii="仿宋" w:hAnsi="仿宋" w:eastAsia="仿宋" w:cs="仿宋"/>
          <w:bCs/>
          <w:sz w:val="32"/>
          <w:szCs w:val="32"/>
          <w:highlight w:val="none"/>
        </w:rPr>
      </w:pPr>
    </w:p>
    <w:p w14:paraId="1BEDEBBF">
      <w:pPr>
        <w:pStyle w:val="5"/>
        <w:snapToGrid w:val="0"/>
        <w:spacing w:line="600" w:lineRule="exact"/>
        <w:ind w:firstLine="1280" w:firstLineChars="400"/>
        <w:rPr>
          <w:rFonts w:ascii="仿宋" w:hAnsi="仿宋" w:eastAsia="仿宋" w:cs="仿宋"/>
          <w:bCs/>
          <w:sz w:val="32"/>
          <w:szCs w:val="32"/>
          <w:highlight w:val="none"/>
        </w:rPr>
      </w:pPr>
    </w:p>
    <w:p w14:paraId="4D59CC60">
      <w:pPr>
        <w:snapToGrid w:val="0"/>
        <w:spacing w:line="600" w:lineRule="exact"/>
        <w:jc w:val="center"/>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2B31DF84">
      <w:pPr>
        <w:snapToGrid w:val="0"/>
        <w:spacing w:line="600" w:lineRule="exact"/>
        <w:jc w:val="center"/>
        <w:outlineLvl w:val="1"/>
        <w:rPr>
          <w:rFonts w:ascii="黑体" w:hAnsi="黑体" w:eastAsia="黑体" w:cs="黑体"/>
          <w:b/>
          <w:bCs/>
          <w:sz w:val="44"/>
          <w:szCs w:val="44"/>
          <w:highlight w:val="none"/>
        </w:rPr>
      </w:pPr>
      <w:r>
        <w:rPr>
          <w:rFonts w:ascii="宋体" w:hAnsi="宋体"/>
          <w:sz w:val="24"/>
          <w:highlight w:val="none"/>
        </w:rPr>
        <w:br w:type="page"/>
      </w:r>
      <w:bookmarkStart w:id="23" w:name="_Toc14424"/>
      <w:bookmarkStart w:id="24" w:name="_Toc5241"/>
      <w:r>
        <w:rPr>
          <w:rFonts w:hint="eastAsia" w:ascii="黑体" w:hAnsi="黑体" w:eastAsia="黑体" w:cs="黑体"/>
          <w:b/>
          <w:bCs/>
          <w:sz w:val="44"/>
          <w:szCs w:val="44"/>
          <w:highlight w:val="none"/>
        </w:rPr>
        <w:t>目录</w:t>
      </w:r>
      <w:bookmarkEnd w:id="23"/>
      <w:bookmarkEnd w:id="24"/>
    </w:p>
    <w:p w14:paraId="015ED349">
      <w:pPr>
        <w:snapToGrid w:val="0"/>
        <w:spacing w:line="600" w:lineRule="exact"/>
        <w:rPr>
          <w:rFonts w:ascii="宋体" w:hAnsi="宋体"/>
          <w:sz w:val="24"/>
          <w:szCs w:val="20"/>
          <w:highlight w:val="none"/>
        </w:rPr>
      </w:pPr>
    </w:p>
    <w:p w14:paraId="1EC27843">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一、竞标函</w:t>
      </w:r>
    </w:p>
    <w:p w14:paraId="06FDE48F">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二、法定代表人身份证明或授权委托书</w:t>
      </w:r>
    </w:p>
    <w:p w14:paraId="0FF1EA28">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三、报价清单</w:t>
      </w:r>
    </w:p>
    <w:p w14:paraId="48723D06">
      <w:pPr>
        <w:spacing w:line="600" w:lineRule="exact"/>
        <w:ind w:left="1278" w:leftChars="304" w:hanging="640" w:hangingChars="200"/>
        <w:jc w:val="left"/>
        <w:rPr>
          <w:rFonts w:ascii="仿宋" w:hAnsi="仿宋" w:eastAsia="仿宋" w:cs="仿宋"/>
          <w:sz w:val="32"/>
          <w:szCs w:val="32"/>
          <w:highlight w:val="none"/>
        </w:rPr>
      </w:pPr>
      <w:r>
        <w:rPr>
          <w:rFonts w:hint="eastAsia" w:ascii="仿宋" w:hAnsi="仿宋" w:eastAsia="仿宋" w:cs="仿宋"/>
          <w:sz w:val="32"/>
          <w:szCs w:val="32"/>
          <w:highlight w:val="none"/>
        </w:rPr>
        <w:t>四、营业执照、港口经营许可证、船检证书、船员适任证书复印件等有关资质证明</w:t>
      </w:r>
    </w:p>
    <w:p w14:paraId="6AEF6DE0">
      <w:pPr>
        <w:pStyle w:val="2"/>
        <w:spacing w:line="600" w:lineRule="exact"/>
        <w:ind w:firstLine="640"/>
        <w:rPr>
          <w:rFonts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rPr>
        <w:t>五、服务承诺函</w:t>
      </w:r>
    </w:p>
    <w:p w14:paraId="35E3E52A">
      <w:pPr>
        <w:spacing w:line="600" w:lineRule="exact"/>
        <w:ind w:firstLine="640"/>
        <w:rPr>
          <w:highlight w:val="none"/>
        </w:rPr>
      </w:pPr>
    </w:p>
    <w:p w14:paraId="5DD5D969">
      <w:pPr>
        <w:pStyle w:val="2"/>
        <w:spacing w:line="600" w:lineRule="exact"/>
        <w:rPr>
          <w:highlight w:val="none"/>
        </w:rPr>
      </w:pPr>
    </w:p>
    <w:p w14:paraId="4BC2C09D">
      <w:pPr>
        <w:spacing w:line="600" w:lineRule="exact"/>
        <w:rPr>
          <w:rFonts w:ascii="宋体" w:hAnsi="宋体"/>
          <w:szCs w:val="21"/>
          <w:highlight w:val="none"/>
        </w:rPr>
      </w:pPr>
    </w:p>
    <w:p w14:paraId="549CCE5B">
      <w:pPr>
        <w:spacing w:line="600" w:lineRule="exact"/>
        <w:rPr>
          <w:rFonts w:ascii="宋体" w:hAnsi="宋体"/>
          <w:szCs w:val="21"/>
          <w:highlight w:val="none"/>
        </w:rPr>
      </w:pPr>
    </w:p>
    <w:p w14:paraId="5F7C180E">
      <w:pPr>
        <w:spacing w:line="600" w:lineRule="exact"/>
        <w:rPr>
          <w:rFonts w:ascii="宋体" w:hAnsi="宋体"/>
          <w:szCs w:val="21"/>
          <w:highlight w:val="none"/>
        </w:rPr>
      </w:pPr>
    </w:p>
    <w:p w14:paraId="7C3A0C98">
      <w:pPr>
        <w:spacing w:line="600" w:lineRule="exact"/>
        <w:rPr>
          <w:rFonts w:ascii="宋体" w:hAnsi="宋体"/>
          <w:szCs w:val="21"/>
          <w:highlight w:val="none"/>
        </w:rPr>
      </w:pPr>
    </w:p>
    <w:p w14:paraId="0D2E17AC">
      <w:pPr>
        <w:spacing w:line="600" w:lineRule="exact"/>
        <w:jc w:val="center"/>
        <w:outlineLvl w:val="1"/>
        <w:rPr>
          <w:rFonts w:ascii="黑体" w:hAnsi="黑体" w:eastAsia="黑体" w:cs="黑体"/>
          <w:sz w:val="36"/>
          <w:szCs w:val="36"/>
          <w:highlight w:val="none"/>
        </w:rPr>
      </w:pPr>
      <w:r>
        <w:rPr>
          <w:rFonts w:ascii="宋体" w:hAnsi="宋体"/>
          <w:szCs w:val="21"/>
          <w:highlight w:val="none"/>
        </w:rPr>
        <w:br w:type="page"/>
      </w:r>
      <w:bookmarkStart w:id="25" w:name="_Toc5505"/>
      <w:bookmarkStart w:id="26" w:name="_Toc30651"/>
      <w:r>
        <w:rPr>
          <w:rFonts w:hint="eastAsia" w:ascii="黑体" w:hAnsi="黑体" w:eastAsia="黑体" w:cs="黑体"/>
          <w:sz w:val="36"/>
          <w:szCs w:val="36"/>
          <w:highlight w:val="none"/>
        </w:rPr>
        <w:t>一、竞标函</w:t>
      </w:r>
      <w:bookmarkEnd w:id="25"/>
      <w:bookmarkEnd w:id="26"/>
    </w:p>
    <w:p w14:paraId="13973649">
      <w:pPr>
        <w:spacing w:line="600" w:lineRule="exact"/>
        <w:jc w:val="center"/>
        <w:rPr>
          <w:rFonts w:ascii="宋体" w:hAnsi="宋体"/>
          <w:b/>
          <w:sz w:val="32"/>
          <w:szCs w:val="32"/>
          <w:highlight w:val="none"/>
        </w:rPr>
      </w:pPr>
    </w:p>
    <w:p w14:paraId="49C4C1A7">
      <w:pPr>
        <w:spacing w:line="600" w:lineRule="exact"/>
        <w:jc w:val="center"/>
        <w:rPr>
          <w:rFonts w:ascii="方正小标宋_GBK" w:hAnsi="方正小标宋_GBK" w:eastAsia="方正小标宋_GBK" w:cs="方正小标宋_GBK"/>
          <w:b/>
          <w:sz w:val="44"/>
          <w:szCs w:val="44"/>
          <w:highlight w:val="none"/>
        </w:rPr>
      </w:pPr>
      <w:r>
        <w:rPr>
          <w:rFonts w:hint="eastAsia" w:ascii="方正小标宋_GBK" w:hAnsi="方正小标宋_GBK" w:eastAsia="方正小标宋_GBK" w:cs="方正小标宋_GBK"/>
          <w:b/>
          <w:sz w:val="44"/>
          <w:szCs w:val="44"/>
          <w:highlight w:val="none"/>
        </w:rPr>
        <w:t>竞标函</w:t>
      </w:r>
    </w:p>
    <w:p w14:paraId="505ADE4F">
      <w:pPr>
        <w:spacing w:line="600" w:lineRule="exact"/>
        <w:jc w:val="center"/>
        <w:rPr>
          <w:rFonts w:ascii="宋体" w:hAnsi="宋体"/>
          <w:sz w:val="24"/>
          <w:szCs w:val="20"/>
          <w:highlight w:val="none"/>
        </w:rPr>
      </w:pPr>
    </w:p>
    <w:p w14:paraId="478EC650">
      <w:pPr>
        <w:spacing w:line="600" w:lineRule="exact"/>
        <w:contextualSpacing/>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广西壮族自治区北部湾港港口管理局钦州分局 </w:t>
      </w:r>
      <w:r>
        <w:rPr>
          <w:rFonts w:hint="eastAsia" w:ascii="仿宋" w:hAnsi="仿宋" w:eastAsia="仿宋" w:cs="仿宋"/>
          <w:sz w:val="32"/>
          <w:szCs w:val="32"/>
          <w:highlight w:val="none"/>
        </w:rPr>
        <w:t>：</w:t>
      </w:r>
    </w:p>
    <w:p w14:paraId="79473C08">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1.我方已仔细研究了</w:t>
      </w:r>
      <w:r>
        <w:rPr>
          <w:rFonts w:hint="eastAsia" w:ascii="仿宋" w:hAnsi="仿宋" w:eastAsia="仿宋" w:cs="仿宋"/>
          <w:sz w:val="32"/>
          <w:szCs w:val="32"/>
          <w:highlight w:val="none"/>
          <w:u w:val="single"/>
        </w:rPr>
        <w:t xml:space="preserve"> 2025年北部湾港钦州港域港口设施保安演习拖轮租赁服务</w:t>
      </w:r>
      <w:r>
        <w:rPr>
          <w:rFonts w:hint="eastAsia" w:ascii="仿宋" w:hAnsi="仿宋" w:eastAsia="仿宋" w:cs="仿宋"/>
          <w:sz w:val="32"/>
          <w:szCs w:val="32"/>
          <w:highlight w:val="none"/>
        </w:rPr>
        <w:t>采购文件的全部内容，愿意以人民币（大写）</w:t>
      </w:r>
      <w:r>
        <w:rPr>
          <w:rFonts w:hint="eastAsia" w:ascii="仿宋" w:hAnsi="仿宋" w:eastAsia="仿宋" w:cs="仿宋"/>
          <w:sz w:val="32"/>
          <w:szCs w:val="32"/>
          <w:highlight w:val="none"/>
          <w:u w:val="single"/>
        </w:rPr>
        <w:t xml:space="preserve">             （¥               ）</w:t>
      </w:r>
      <w:r>
        <w:rPr>
          <w:rFonts w:hint="eastAsia" w:ascii="仿宋" w:hAnsi="仿宋" w:eastAsia="仿宋" w:cs="仿宋"/>
          <w:sz w:val="32"/>
          <w:szCs w:val="32"/>
          <w:highlight w:val="none"/>
        </w:rPr>
        <w:t>的竞标总报价，按合同约定完成2025年北部湾港钦州港域港口设施保安演习工作。</w:t>
      </w:r>
    </w:p>
    <w:p w14:paraId="696D858F">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2.我方的响应文件包括下列内容：：</w:t>
      </w:r>
    </w:p>
    <w:p w14:paraId="1B73A48A">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（1）竞标函；</w:t>
      </w:r>
    </w:p>
    <w:p w14:paraId="574018AB">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（2）法定代表人身份证明或授权委托书；</w:t>
      </w:r>
    </w:p>
    <w:p w14:paraId="05FD54D4">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（3）报价清单；</w:t>
      </w:r>
    </w:p>
    <w:p w14:paraId="7A67AB6C">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响应文件的上述组成部分如存在内容不一致的，以竞标函为准。</w:t>
      </w:r>
    </w:p>
    <w:p w14:paraId="53B4561D">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3.项目负责人姓名：</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年龄：</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现任职务：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职称：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w:t>
      </w:r>
    </w:p>
    <w:p w14:paraId="3AA44147">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4.我方承诺在采购文件规定的竞标有效期内不撤销响应文件。</w:t>
      </w:r>
    </w:p>
    <w:p w14:paraId="16895236">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5.如我方中标，我方承诺：</w:t>
      </w:r>
    </w:p>
    <w:p w14:paraId="54D24A31">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（1）在收到中标通知书后，在中标通知书规定的期限内与你方签订合同；</w:t>
      </w:r>
    </w:p>
    <w:p w14:paraId="22224AB4">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（2）在签订合同时不向你方提出附加条件；</w:t>
      </w:r>
    </w:p>
    <w:p w14:paraId="0351B2F2">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（3）在合同约定的期限内完成合同规定的全部义务。</w:t>
      </w:r>
    </w:p>
    <w:p w14:paraId="20F45E66">
      <w:pPr>
        <w:spacing w:line="600" w:lineRule="exact"/>
        <w:ind w:firstLine="640" w:firstLineChars="200"/>
        <w:contextualSpacing/>
        <w:rPr>
          <w:rFonts w:ascii="仿宋" w:hAnsi="仿宋" w:eastAsia="仿宋" w:cs="仿宋"/>
          <w:sz w:val="32"/>
          <w:szCs w:val="32"/>
          <w:highlight w:val="none"/>
        </w:rPr>
      </w:pPr>
      <w:r>
        <w:rPr>
          <w:rFonts w:hint="eastAsia" w:ascii="仿宋" w:hAnsi="仿宋" w:eastAsia="仿宋" w:cs="仿宋"/>
          <w:sz w:val="32"/>
          <w:szCs w:val="32"/>
          <w:highlight w:val="none"/>
        </w:rPr>
        <w:t>6.我方在此声明，所递交的响应文件及有关资料内容完整、真实和准确。</w:t>
      </w:r>
    </w:p>
    <w:p w14:paraId="280D961A">
      <w:pPr>
        <w:pStyle w:val="10"/>
        <w:tabs>
          <w:tab w:val="left" w:pos="939"/>
        </w:tabs>
        <w:spacing w:line="600" w:lineRule="exact"/>
        <w:ind w:left="0" w:leftChars="0" w:firstLine="640" w:firstLineChars="200"/>
        <w:rPr>
          <w:rFonts w:ascii="仿宋" w:hAnsi="仿宋" w:eastAsia="仿宋" w:cs="仿宋"/>
          <w:sz w:val="32"/>
          <w:szCs w:val="32"/>
          <w:highlight w:val="none"/>
        </w:rPr>
      </w:pPr>
    </w:p>
    <w:p w14:paraId="390E34A1">
      <w:pPr>
        <w:pStyle w:val="5"/>
        <w:overflowPunct w:val="0"/>
        <w:spacing w:line="60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26012C47">
      <w:pPr>
        <w:pStyle w:val="5"/>
        <w:overflowPunct w:val="0"/>
        <w:spacing w:line="600" w:lineRule="exact"/>
        <w:ind w:firstLine="1971" w:firstLineChars="616"/>
        <w:rPr>
          <w:rFonts w:ascii="仿宋" w:hAnsi="仿宋" w:eastAsia="仿宋" w:cs="仿宋"/>
          <w:sz w:val="32"/>
          <w:szCs w:val="32"/>
          <w:highlight w:val="none"/>
        </w:rPr>
      </w:pPr>
      <w:r>
        <w:rPr>
          <w:rFonts w:hint="eastAsia" w:ascii="仿宋" w:hAnsi="仿宋" w:eastAsia="仿宋" w:cs="仿宋"/>
          <w:sz w:val="32"/>
          <w:szCs w:val="32"/>
          <w:highlight w:val="none"/>
        </w:rPr>
        <w:t>法定代表人或其委托代理人：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3C192019">
      <w:pPr>
        <w:pStyle w:val="5"/>
        <w:overflowPunct w:val="0"/>
        <w:spacing w:line="600" w:lineRule="exact"/>
        <w:ind w:firstLine="5331" w:firstLineChars="1666"/>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24480163">
      <w:pPr>
        <w:spacing w:line="600" w:lineRule="exact"/>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440CBD28">
      <w:pPr>
        <w:snapToGrid w:val="0"/>
        <w:spacing w:line="600" w:lineRule="exact"/>
        <w:jc w:val="center"/>
        <w:outlineLvl w:val="1"/>
        <w:rPr>
          <w:rFonts w:ascii="黑体" w:hAnsi="黑体" w:eastAsia="黑体" w:cs="黑体"/>
          <w:sz w:val="36"/>
          <w:szCs w:val="36"/>
          <w:highlight w:val="none"/>
        </w:rPr>
      </w:pPr>
      <w:bookmarkStart w:id="27" w:name="_Toc9179"/>
      <w:bookmarkStart w:id="28" w:name="_Toc10185"/>
      <w:r>
        <w:rPr>
          <w:rFonts w:hint="eastAsia" w:ascii="黑体" w:hAnsi="黑体" w:eastAsia="黑体" w:cs="黑体"/>
          <w:sz w:val="36"/>
          <w:szCs w:val="36"/>
          <w:highlight w:val="none"/>
        </w:rPr>
        <w:t>二、法定代表人身份证明</w:t>
      </w:r>
      <w:bookmarkEnd w:id="27"/>
      <w:bookmarkEnd w:id="28"/>
    </w:p>
    <w:p w14:paraId="1A1CCEE6">
      <w:pPr>
        <w:snapToGrid w:val="0"/>
        <w:spacing w:line="600" w:lineRule="exact"/>
        <w:ind w:firstLine="480" w:firstLineChars="200"/>
        <w:rPr>
          <w:rFonts w:ascii="宋体" w:hAnsi="宋体" w:cs="仿宋_GB2312"/>
          <w:sz w:val="24"/>
          <w:highlight w:val="none"/>
        </w:rPr>
      </w:pPr>
    </w:p>
    <w:p w14:paraId="01345C33">
      <w:pPr>
        <w:pStyle w:val="26"/>
        <w:spacing w:before="0" w:after="0" w:line="600" w:lineRule="exact"/>
        <w:jc w:val="center"/>
        <w:rPr>
          <w:rFonts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b/>
          <w:sz w:val="44"/>
          <w:szCs w:val="44"/>
          <w:highlight w:val="none"/>
        </w:rPr>
        <w:t>法定代表人身份证明</w:t>
      </w:r>
    </w:p>
    <w:p w14:paraId="512FA83F">
      <w:pPr>
        <w:pStyle w:val="26"/>
        <w:spacing w:before="0" w:after="0" w:line="600" w:lineRule="exact"/>
        <w:rPr>
          <w:rFonts w:ascii="宋体" w:hAnsi="宋体" w:cs="仿宋_GB2312"/>
          <w:highlight w:val="none"/>
        </w:rPr>
      </w:pPr>
    </w:p>
    <w:p w14:paraId="72F21EBA">
      <w:pPr>
        <w:pStyle w:val="7"/>
        <w:spacing w:after="0" w:line="600" w:lineRule="exact"/>
        <w:rPr>
          <w:highlight w:val="none"/>
        </w:rPr>
      </w:pPr>
    </w:p>
    <w:p w14:paraId="314482EC">
      <w:pPr>
        <w:snapToGrid w:val="0"/>
        <w:spacing w:line="600" w:lineRule="exact"/>
        <w:ind w:firstLine="640" w:firstLineChars="200"/>
        <w:rPr>
          <w:rFonts w:ascii="仿宋" w:hAnsi="仿宋" w:eastAsia="仿宋" w:cs="仿宋"/>
          <w:sz w:val="32"/>
          <w:szCs w:val="32"/>
          <w:highlight w:val="none"/>
          <w:u w:val="single"/>
        </w:rPr>
      </w:pPr>
      <w:r>
        <w:rPr>
          <w:rFonts w:hint="eastAsia" w:ascii="仿宋" w:hAnsi="仿宋" w:eastAsia="仿宋" w:cs="仿宋"/>
          <w:sz w:val="32"/>
          <w:szCs w:val="32"/>
          <w:highlight w:val="none"/>
        </w:rPr>
        <w:t>供应商名称：</w:t>
      </w:r>
      <w:r>
        <w:rPr>
          <w:rFonts w:hint="eastAsia" w:ascii="仿宋" w:hAnsi="仿宋" w:eastAsia="仿宋" w:cs="仿宋"/>
          <w:sz w:val="32"/>
          <w:szCs w:val="32"/>
          <w:highlight w:val="none"/>
          <w:u w:val="single"/>
        </w:rPr>
        <w:t xml:space="preserve">                                 </w:t>
      </w:r>
    </w:p>
    <w:p w14:paraId="3BEA53E8">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姓名：</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性别：</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职务：</w:t>
      </w:r>
      <w:r>
        <w:rPr>
          <w:rFonts w:hint="eastAsia" w:ascii="仿宋" w:hAnsi="仿宋" w:eastAsia="仿宋" w:cs="仿宋"/>
          <w:sz w:val="32"/>
          <w:szCs w:val="32"/>
          <w:highlight w:val="none"/>
          <w:u w:val="single"/>
        </w:rPr>
        <w:t xml:space="preserve">         </w:t>
      </w:r>
    </w:p>
    <w:p w14:paraId="5C81ECF0">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（供应商名称）的法定代表人。</w:t>
      </w:r>
    </w:p>
    <w:p w14:paraId="70950225">
      <w:pPr>
        <w:pStyle w:val="7"/>
        <w:spacing w:after="0" w:line="600" w:lineRule="exact"/>
        <w:ind w:firstLine="1600" w:firstLineChars="500"/>
        <w:rPr>
          <w:rFonts w:ascii="仿宋" w:hAnsi="仿宋" w:eastAsia="仿宋" w:cs="仿宋"/>
          <w:sz w:val="32"/>
          <w:szCs w:val="32"/>
          <w:highlight w:val="none"/>
        </w:rPr>
      </w:pPr>
      <w:r>
        <w:rPr>
          <w:rFonts w:hint="eastAsia" w:ascii="仿宋" w:hAnsi="仿宋" w:eastAsia="仿宋" w:cs="仿宋"/>
          <w:sz w:val="32"/>
          <w:szCs w:val="32"/>
          <w:highlight w:val="none"/>
        </w:rPr>
        <w:t>特此证明。</w:t>
      </w:r>
    </w:p>
    <w:p w14:paraId="168B51EC">
      <w:pPr>
        <w:snapToGrid w:val="0"/>
        <w:spacing w:line="600" w:lineRule="exact"/>
        <w:ind w:firstLine="640" w:firstLineChars="200"/>
        <w:rPr>
          <w:rFonts w:ascii="仿宋" w:hAnsi="仿宋" w:eastAsia="仿宋" w:cs="仿宋"/>
          <w:sz w:val="32"/>
          <w:szCs w:val="32"/>
          <w:highlight w:val="none"/>
        </w:rPr>
      </w:pPr>
    </w:p>
    <w:p w14:paraId="73DCBE6F">
      <w:pPr>
        <w:snapToGrid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附：法定代表人身份证复印件</w:t>
      </w:r>
    </w:p>
    <w:p w14:paraId="4FE32257">
      <w:pPr>
        <w:pStyle w:val="7"/>
        <w:spacing w:after="0" w:line="600" w:lineRule="exact"/>
        <w:rPr>
          <w:rFonts w:ascii="仿宋" w:hAnsi="仿宋" w:eastAsia="仿宋" w:cs="仿宋"/>
          <w:sz w:val="32"/>
          <w:szCs w:val="32"/>
          <w:highlight w:val="none"/>
        </w:rPr>
      </w:pPr>
    </w:p>
    <w:p w14:paraId="5B7050CC">
      <w:pPr>
        <w:pStyle w:val="7"/>
        <w:spacing w:after="0" w:line="600" w:lineRule="exact"/>
        <w:rPr>
          <w:rFonts w:ascii="仿宋" w:hAnsi="仿宋" w:eastAsia="仿宋" w:cs="仿宋"/>
          <w:sz w:val="32"/>
          <w:szCs w:val="32"/>
          <w:highlight w:val="none"/>
        </w:rPr>
      </w:pPr>
    </w:p>
    <w:p w14:paraId="4C26F10D">
      <w:pPr>
        <w:pStyle w:val="7"/>
        <w:spacing w:after="0" w:line="600" w:lineRule="exact"/>
        <w:rPr>
          <w:rFonts w:ascii="仿宋" w:hAnsi="仿宋" w:eastAsia="仿宋" w:cs="仿宋"/>
          <w:sz w:val="32"/>
          <w:szCs w:val="32"/>
          <w:highlight w:val="none"/>
        </w:rPr>
      </w:pPr>
    </w:p>
    <w:p w14:paraId="01AF1DC7">
      <w:pPr>
        <w:pStyle w:val="5"/>
        <w:overflowPunct w:val="0"/>
        <w:spacing w:line="60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 xml:space="preserve">             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40722495">
      <w:pPr>
        <w:pStyle w:val="5"/>
        <w:overflowPunct w:val="0"/>
        <w:spacing w:line="600" w:lineRule="exact"/>
        <w:ind w:firstLine="3840" w:firstLineChars="1200"/>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417AE57E">
      <w:pPr>
        <w:pStyle w:val="7"/>
        <w:spacing w:after="0" w:line="600" w:lineRule="exact"/>
        <w:rPr>
          <w:rFonts w:ascii="仿宋" w:hAnsi="仿宋" w:eastAsia="仿宋" w:cs="仿宋"/>
          <w:sz w:val="32"/>
          <w:szCs w:val="32"/>
          <w:highlight w:val="none"/>
        </w:rPr>
      </w:pPr>
    </w:p>
    <w:p w14:paraId="38C37C86">
      <w:pPr>
        <w:spacing w:line="600" w:lineRule="exact"/>
        <w:rPr>
          <w:rFonts w:ascii="仿宋" w:hAnsi="仿宋" w:eastAsia="仿宋" w:cs="仿宋"/>
          <w:sz w:val="32"/>
          <w:szCs w:val="32"/>
          <w:highlight w:val="none"/>
        </w:rPr>
      </w:pPr>
      <w:r>
        <w:rPr>
          <w:rFonts w:hint="eastAsia" w:ascii="仿宋" w:hAnsi="仿宋" w:eastAsia="仿宋" w:cs="仿宋"/>
          <w:sz w:val="32"/>
          <w:szCs w:val="32"/>
          <w:highlight w:val="none"/>
        </w:rPr>
        <w:br w:type="page"/>
      </w:r>
    </w:p>
    <w:p w14:paraId="32206550">
      <w:pPr>
        <w:snapToGrid w:val="0"/>
        <w:spacing w:line="600" w:lineRule="exact"/>
        <w:jc w:val="center"/>
        <w:outlineLvl w:val="1"/>
        <w:rPr>
          <w:rFonts w:ascii="黑体" w:hAnsi="黑体" w:eastAsia="黑体" w:cs="黑体"/>
          <w:sz w:val="36"/>
          <w:szCs w:val="36"/>
          <w:highlight w:val="none"/>
        </w:rPr>
      </w:pPr>
      <w:bookmarkStart w:id="29" w:name="_Toc21187"/>
      <w:bookmarkStart w:id="30" w:name="_Toc20885"/>
      <w:r>
        <w:rPr>
          <w:rFonts w:hint="eastAsia" w:ascii="黑体" w:hAnsi="黑体" w:eastAsia="黑体" w:cs="黑体"/>
          <w:sz w:val="36"/>
          <w:szCs w:val="36"/>
          <w:highlight w:val="none"/>
        </w:rPr>
        <w:t>二、授权委托书</w:t>
      </w:r>
      <w:bookmarkEnd w:id="29"/>
      <w:bookmarkEnd w:id="30"/>
    </w:p>
    <w:p w14:paraId="21BA6E78">
      <w:pPr>
        <w:snapToGrid w:val="0"/>
        <w:spacing w:line="600" w:lineRule="exact"/>
        <w:ind w:firstLine="480" w:firstLineChars="200"/>
        <w:rPr>
          <w:rFonts w:ascii="宋体" w:hAnsi="宋体" w:cs="仿宋_GB2312"/>
          <w:sz w:val="24"/>
          <w:highlight w:val="none"/>
        </w:rPr>
      </w:pPr>
    </w:p>
    <w:p w14:paraId="7A6D3409">
      <w:pPr>
        <w:pStyle w:val="26"/>
        <w:spacing w:before="0" w:after="0" w:line="600" w:lineRule="exact"/>
        <w:jc w:val="center"/>
        <w:rPr>
          <w:rFonts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b/>
          <w:sz w:val="44"/>
          <w:szCs w:val="44"/>
          <w:highlight w:val="none"/>
        </w:rPr>
        <w:t>授权委托书</w:t>
      </w:r>
    </w:p>
    <w:p w14:paraId="46799EC7">
      <w:pPr>
        <w:pStyle w:val="7"/>
        <w:spacing w:after="0" w:line="600" w:lineRule="exact"/>
        <w:rPr>
          <w:highlight w:val="none"/>
        </w:rPr>
      </w:pPr>
    </w:p>
    <w:p w14:paraId="6D786A12">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本人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(供应商名称)的法定代表人，现委托</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 xml:space="preserve"> (姓名)为我方代理人。代理人根据授权，以我方名义签署、澄清确认、递交、撤回、修改响应文件和处理有关事宜，其法律后果由我方承担。</w:t>
      </w:r>
    </w:p>
    <w:p w14:paraId="630C23C1">
      <w:pPr>
        <w:spacing w:line="600" w:lineRule="exact"/>
        <w:ind w:firstLine="480"/>
        <w:rPr>
          <w:rFonts w:ascii="仿宋" w:hAnsi="仿宋" w:eastAsia="仿宋" w:cs="仿宋"/>
          <w:sz w:val="32"/>
          <w:szCs w:val="32"/>
          <w:highlight w:val="none"/>
        </w:rPr>
      </w:pPr>
      <w:r>
        <w:rPr>
          <w:rFonts w:hint="eastAsia" w:ascii="仿宋" w:hAnsi="仿宋" w:eastAsia="仿宋" w:cs="仿宋"/>
          <w:sz w:val="32"/>
          <w:szCs w:val="32"/>
          <w:highlight w:val="none"/>
        </w:rPr>
        <w:t>委托期限：自</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日起至</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日止。</w:t>
      </w:r>
    </w:p>
    <w:p w14:paraId="6A5C0FF2">
      <w:pPr>
        <w:spacing w:line="600" w:lineRule="exact"/>
        <w:ind w:firstLine="480"/>
        <w:rPr>
          <w:rFonts w:ascii="仿宋" w:hAnsi="仿宋" w:eastAsia="仿宋" w:cs="仿宋"/>
          <w:sz w:val="32"/>
          <w:szCs w:val="32"/>
          <w:highlight w:val="none"/>
        </w:rPr>
      </w:pPr>
      <w:r>
        <w:rPr>
          <w:rFonts w:hint="eastAsia" w:ascii="仿宋" w:hAnsi="仿宋" w:eastAsia="仿宋" w:cs="仿宋"/>
          <w:sz w:val="32"/>
          <w:szCs w:val="32"/>
          <w:highlight w:val="none"/>
        </w:rPr>
        <w:t>代理人无转委托权。</w:t>
      </w:r>
    </w:p>
    <w:p w14:paraId="2DB081E4">
      <w:pPr>
        <w:spacing w:line="600" w:lineRule="exact"/>
        <w:rPr>
          <w:rFonts w:ascii="仿宋" w:hAnsi="仿宋" w:eastAsia="仿宋" w:cs="仿宋"/>
          <w:sz w:val="32"/>
          <w:szCs w:val="32"/>
          <w:highlight w:val="none"/>
        </w:rPr>
      </w:pPr>
    </w:p>
    <w:p w14:paraId="67AD9A3D">
      <w:pPr>
        <w:spacing w:line="600" w:lineRule="exact"/>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附：法定代表人身份证复印件及</w:t>
      </w:r>
      <w:r>
        <w:rPr>
          <w:rFonts w:hint="eastAsia" w:ascii="仿宋" w:hAnsi="仿宋" w:eastAsia="仿宋" w:cs="仿宋"/>
          <w:snapToGrid w:val="0"/>
          <w:kern w:val="0"/>
          <w:sz w:val="32"/>
          <w:szCs w:val="32"/>
          <w:highlight w:val="none"/>
        </w:rPr>
        <w:t>委托代理人身份证复印件</w:t>
      </w:r>
    </w:p>
    <w:p w14:paraId="0639AE79">
      <w:pPr>
        <w:spacing w:line="600" w:lineRule="exact"/>
        <w:ind w:firstLine="480"/>
        <w:rPr>
          <w:rFonts w:ascii="仿宋" w:hAnsi="仿宋" w:eastAsia="仿宋" w:cs="仿宋"/>
          <w:sz w:val="32"/>
          <w:szCs w:val="32"/>
          <w:highlight w:val="none"/>
        </w:rPr>
      </w:pPr>
    </w:p>
    <w:p w14:paraId="22026483">
      <w:pPr>
        <w:spacing w:line="600" w:lineRule="exact"/>
        <w:rPr>
          <w:rFonts w:ascii="仿宋" w:hAnsi="仿宋" w:eastAsia="仿宋" w:cs="仿宋"/>
          <w:sz w:val="32"/>
          <w:szCs w:val="32"/>
          <w:highlight w:val="none"/>
        </w:rPr>
      </w:pPr>
    </w:p>
    <w:p w14:paraId="6BCC3EA5">
      <w:pPr>
        <w:spacing w:line="600" w:lineRule="exact"/>
        <w:ind w:firstLine="320" w:firstLineChars="100"/>
        <w:jc w:val="right"/>
        <w:rPr>
          <w:rFonts w:ascii="仿宋" w:hAnsi="仿宋" w:eastAsia="仿宋" w:cs="仿宋"/>
          <w:sz w:val="32"/>
          <w:szCs w:val="32"/>
          <w:highlight w:val="none"/>
        </w:rPr>
      </w:pPr>
      <w:r>
        <w:rPr>
          <w:rFonts w:hint="eastAsia" w:ascii="仿宋" w:hAnsi="仿宋" w:eastAsia="仿宋" w:cs="仿宋"/>
          <w:sz w:val="32"/>
          <w:szCs w:val="32"/>
          <w:highlight w:val="none"/>
        </w:rPr>
        <w:t>供应商：</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16938B2C">
      <w:pPr>
        <w:spacing w:line="600" w:lineRule="exact"/>
        <w:jc w:val="right"/>
        <w:rPr>
          <w:rFonts w:ascii="仿宋" w:hAnsi="仿宋" w:eastAsia="仿宋" w:cs="仿宋"/>
          <w:sz w:val="32"/>
          <w:szCs w:val="32"/>
          <w:highlight w:val="none"/>
        </w:rPr>
      </w:pPr>
      <w:r>
        <w:rPr>
          <w:rFonts w:hint="eastAsia" w:ascii="仿宋" w:hAnsi="仿宋" w:eastAsia="仿宋" w:cs="仿宋"/>
          <w:sz w:val="32"/>
          <w:szCs w:val="32"/>
          <w:highlight w:val="none"/>
        </w:rPr>
        <w:t>法定代表人：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5E3B0080">
      <w:pPr>
        <w:spacing w:line="600" w:lineRule="exact"/>
        <w:ind w:firstLine="2560" w:firstLineChars="800"/>
        <w:rPr>
          <w:rFonts w:ascii="仿宋" w:hAnsi="仿宋" w:eastAsia="仿宋" w:cs="仿宋"/>
          <w:sz w:val="32"/>
          <w:szCs w:val="32"/>
          <w:highlight w:val="none"/>
        </w:rPr>
      </w:pPr>
      <w:r>
        <w:rPr>
          <w:rFonts w:hint="eastAsia" w:ascii="仿宋" w:hAnsi="仿宋" w:eastAsia="仿宋" w:cs="仿宋"/>
          <w:sz w:val="32"/>
          <w:szCs w:val="32"/>
          <w:highlight w:val="none"/>
        </w:rPr>
        <w:t>身份证号码：</w:t>
      </w:r>
      <w:r>
        <w:rPr>
          <w:rFonts w:hint="eastAsia" w:ascii="仿宋" w:hAnsi="仿宋" w:eastAsia="仿宋" w:cs="仿宋"/>
          <w:sz w:val="32"/>
          <w:szCs w:val="32"/>
          <w:highlight w:val="none"/>
          <w:u w:val="single"/>
        </w:rPr>
        <w:t xml:space="preserve">                            </w:t>
      </w:r>
    </w:p>
    <w:p w14:paraId="2DCA7B55">
      <w:pPr>
        <w:spacing w:line="600" w:lineRule="exact"/>
        <w:jc w:val="right"/>
        <w:rPr>
          <w:rFonts w:ascii="仿宋" w:hAnsi="仿宋" w:eastAsia="仿宋" w:cs="仿宋"/>
          <w:sz w:val="32"/>
          <w:szCs w:val="32"/>
          <w:highlight w:val="none"/>
        </w:rPr>
      </w:pPr>
      <w:r>
        <w:rPr>
          <w:rFonts w:hint="eastAsia" w:ascii="仿宋" w:hAnsi="仿宋" w:eastAsia="仿宋" w:cs="仿宋"/>
          <w:sz w:val="32"/>
          <w:szCs w:val="32"/>
          <w:highlight w:val="none"/>
        </w:rPr>
        <w:t>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064335F3">
      <w:pPr>
        <w:spacing w:line="600" w:lineRule="exact"/>
        <w:ind w:firstLine="2473" w:firstLineChars="773"/>
        <w:rPr>
          <w:rFonts w:ascii="仿宋" w:hAnsi="仿宋" w:eastAsia="仿宋" w:cs="仿宋"/>
          <w:sz w:val="32"/>
          <w:szCs w:val="32"/>
          <w:highlight w:val="none"/>
        </w:rPr>
      </w:pPr>
      <w:r>
        <w:rPr>
          <w:rFonts w:hint="eastAsia" w:ascii="仿宋" w:hAnsi="仿宋" w:eastAsia="仿宋" w:cs="仿宋"/>
          <w:sz w:val="32"/>
          <w:szCs w:val="32"/>
          <w:highlight w:val="none"/>
        </w:rPr>
        <w:t>身份证号码：</w:t>
      </w:r>
      <w:r>
        <w:rPr>
          <w:rFonts w:hint="eastAsia" w:ascii="仿宋" w:hAnsi="仿宋" w:eastAsia="仿宋" w:cs="仿宋"/>
          <w:sz w:val="32"/>
          <w:szCs w:val="32"/>
          <w:highlight w:val="none"/>
          <w:u w:val="single"/>
        </w:rPr>
        <w:t xml:space="preserve">                             </w:t>
      </w:r>
    </w:p>
    <w:p w14:paraId="54E382F3">
      <w:pPr>
        <w:spacing w:line="600" w:lineRule="exact"/>
        <w:jc w:val="right"/>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070273A4">
      <w:pPr>
        <w:snapToGrid w:val="0"/>
        <w:spacing w:line="600" w:lineRule="exact"/>
        <w:jc w:val="center"/>
        <w:outlineLvl w:val="1"/>
        <w:rPr>
          <w:rFonts w:ascii="黑体" w:hAnsi="黑体" w:eastAsia="黑体" w:cs="黑体"/>
          <w:sz w:val="36"/>
          <w:szCs w:val="36"/>
          <w:highlight w:val="none"/>
        </w:rPr>
      </w:pPr>
      <w:bookmarkStart w:id="31" w:name="_Toc1684"/>
      <w:bookmarkStart w:id="32" w:name="_Toc8009"/>
      <w:r>
        <w:rPr>
          <w:rFonts w:hint="eastAsia" w:ascii="黑体" w:hAnsi="黑体" w:eastAsia="黑体" w:cs="黑体"/>
          <w:sz w:val="36"/>
          <w:szCs w:val="36"/>
          <w:highlight w:val="none"/>
        </w:rPr>
        <w:t>三、报价清单</w:t>
      </w:r>
      <w:bookmarkEnd w:id="31"/>
      <w:bookmarkEnd w:id="32"/>
    </w:p>
    <w:p w14:paraId="3DD2B088">
      <w:pPr>
        <w:spacing w:line="600" w:lineRule="exact"/>
        <w:jc w:val="center"/>
        <w:outlineLvl w:val="2"/>
        <w:rPr>
          <w:rFonts w:ascii="方正小标宋_GBK" w:hAnsi="方正小标宋_GBK" w:eastAsia="方正小标宋_GBK" w:cs="方正小标宋_GBK"/>
          <w:sz w:val="44"/>
          <w:szCs w:val="44"/>
          <w:highlight w:val="none"/>
        </w:rPr>
      </w:pPr>
      <w:bookmarkStart w:id="33" w:name="_Toc10738"/>
      <w:bookmarkStart w:id="34" w:name="_Toc32344"/>
      <w:r>
        <w:rPr>
          <w:rFonts w:hint="eastAsia" w:ascii="方正小标宋_GBK" w:hAnsi="方正小标宋_GBK" w:eastAsia="方正小标宋_GBK" w:cs="方正小标宋_GBK"/>
          <w:b/>
          <w:sz w:val="44"/>
          <w:szCs w:val="44"/>
          <w:highlight w:val="none"/>
        </w:rPr>
        <w:t>报价文件说明</w:t>
      </w:r>
      <w:bookmarkEnd w:id="33"/>
      <w:bookmarkEnd w:id="34"/>
    </w:p>
    <w:p w14:paraId="681307D6">
      <w:pPr>
        <w:spacing w:line="600" w:lineRule="exact"/>
        <w:rPr>
          <w:rFonts w:ascii="黑体" w:hAnsi="宋体" w:eastAsia="黑体"/>
          <w:sz w:val="24"/>
          <w:highlight w:val="none"/>
        </w:rPr>
      </w:pPr>
    </w:p>
    <w:p w14:paraId="68D40109">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1.“报价清单”应与“供应商须知”“采购内容及要求”“合同条款”等一起使用。</w:t>
      </w:r>
    </w:p>
    <w:p w14:paraId="2EA3803B">
      <w:pPr>
        <w:widowControl/>
        <w:spacing w:line="600" w:lineRule="exact"/>
        <w:ind w:firstLine="640" w:firstLineChars="200"/>
        <w:rPr>
          <w:rFonts w:ascii="仿宋" w:hAnsi="仿宋" w:eastAsia="仿宋" w:cs="仿宋"/>
          <w:sz w:val="32"/>
          <w:szCs w:val="32"/>
          <w:highlight w:val="none"/>
          <w:lang w:bidi="ar"/>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bidi="ar"/>
        </w:rPr>
        <w:t>本次采购采用总价包干，竞标报价包含但不限于资料收集、会议、差旅费、文印费、设备耗材费、税费及合同包含的所有风险、责任及措施等费用，包含为完成2025年北部湾港钦州港域港口设施保安演习使用拖轮服务的全部工作以及可能发生的各种费用。本项目合同总价在合同执行过程中是固定的，不因情况变化而调整。</w:t>
      </w:r>
    </w:p>
    <w:p w14:paraId="063D5B18">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3.竞标报价为一次报价，此次报价即最终报价，不再就价格问题另行协商。</w:t>
      </w:r>
    </w:p>
    <w:p w14:paraId="1C37F9AB">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4.“报价清单”中报价应以人民币为单位。</w:t>
      </w:r>
    </w:p>
    <w:p w14:paraId="26D9C76B">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5.报价应为含税价格，并且能够提供增值税发票。</w:t>
      </w:r>
    </w:p>
    <w:p w14:paraId="2452AD8B">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6.供应商应在“报价清单”后附计算说明，包括计算方法、取费依据等，以便采购人对供应商报价的合理性作出判断。</w:t>
      </w:r>
    </w:p>
    <w:p w14:paraId="380EEA42">
      <w:pPr>
        <w:widowControl/>
        <w:spacing w:line="600" w:lineRule="exact"/>
        <w:ind w:firstLine="640" w:firstLineChars="200"/>
        <w:rPr>
          <w:rFonts w:ascii="仿宋" w:hAnsi="仿宋" w:eastAsia="仿宋" w:cs="仿宋"/>
          <w:sz w:val="32"/>
          <w:szCs w:val="32"/>
          <w:highlight w:val="none"/>
          <w:lang w:bidi="ar"/>
        </w:rPr>
      </w:pPr>
    </w:p>
    <w:p w14:paraId="0D8A4931">
      <w:pPr>
        <w:widowControl/>
        <w:spacing w:line="600" w:lineRule="exact"/>
        <w:ind w:firstLine="480" w:firstLineChars="200"/>
        <w:rPr>
          <w:rFonts w:ascii="宋体" w:hAnsi="宋体" w:cs="宋体"/>
          <w:sz w:val="24"/>
          <w:highlight w:val="none"/>
          <w:lang w:bidi="ar"/>
        </w:rPr>
      </w:pPr>
    </w:p>
    <w:p w14:paraId="7F41D77E">
      <w:pPr>
        <w:widowControl/>
        <w:spacing w:line="600" w:lineRule="exact"/>
        <w:ind w:firstLine="480" w:firstLineChars="200"/>
        <w:rPr>
          <w:rFonts w:ascii="宋体" w:hAnsi="宋体" w:cs="宋体"/>
          <w:sz w:val="24"/>
          <w:highlight w:val="none"/>
          <w:lang w:bidi="ar"/>
        </w:rPr>
      </w:pPr>
    </w:p>
    <w:p w14:paraId="21AB8D70">
      <w:pPr>
        <w:widowControl/>
        <w:spacing w:line="600" w:lineRule="exact"/>
        <w:ind w:firstLine="480" w:firstLineChars="200"/>
        <w:rPr>
          <w:rFonts w:ascii="宋体" w:hAnsi="宋体" w:cs="宋体"/>
          <w:sz w:val="24"/>
          <w:highlight w:val="none"/>
          <w:lang w:bidi="ar"/>
        </w:rPr>
      </w:pPr>
    </w:p>
    <w:p w14:paraId="51846872">
      <w:pPr>
        <w:pStyle w:val="7"/>
        <w:spacing w:after="0" w:line="600" w:lineRule="exact"/>
        <w:rPr>
          <w:highlight w:val="none"/>
        </w:rPr>
      </w:pPr>
    </w:p>
    <w:p w14:paraId="644C1446">
      <w:pPr>
        <w:spacing w:line="600" w:lineRule="exact"/>
        <w:jc w:val="center"/>
        <w:rPr>
          <w:rFonts w:ascii="方正小标宋_GBK" w:hAnsi="方正小标宋_GBK" w:eastAsia="方正小标宋_GBK" w:cs="方正小标宋_GBK"/>
          <w:b/>
          <w:sz w:val="44"/>
          <w:szCs w:val="44"/>
          <w:highlight w:val="none"/>
        </w:rPr>
      </w:pPr>
      <w:r>
        <w:rPr>
          <w:rFonts w:hint="eastAsia" w:ascii="方正小标宋_GBK" w:hAnsi="方正小标宋_GBK" w:eastAsia="方正小标宋_GBK" w:cs="方正小标宋_GBK"/>
          <w:b/>
          <w:sz w:val="44"/>
          <w:szCs w:val="44"/>
          <w:highlight w:val="none"/>
        </w:rPr>
        <w:t>竞标报价表</w:t>
      </w:r>
    </w:p>
    <w:p w14:paraId="20ACF85E">
      <w:pPr>
        <w:spacing w:line="600" w:lineRule="exact"/>
        <w:jc w:val="center"/>
        <w:rPr>
          <w:rFonts w:ascii="方正小标宋简体" w:hAnsi="方正小标宋简体" w:eastAsia="方正小标宋简体" w:cs="方正小标宋简体"/>
          <w:bCs/>
          <w:sz w:val="32"/>
          <w:szCs w:val="32"/>
          <w:highlight w:val="none"/>
        </w:rPr>
      </w:pPr>
    </w:p>
    <w:p w14:paraId="4B87DC60">
      <w:pPr>
        <w:spacing w:line="600" w:lineRule="exact"/>
        <w:contextualSpacing/>
        <w:jc w:val="left"/>
        <w:rPr>
          <w:rFonts w:ascii="仿宋" w:hAnsi="仿宋" w:eastAsia="仿宋" w:cs="仿宋"/>
          <w:sz w:val="32"/>
          <w:szCs w:val="32"/>
          <w:highlight w:val="none"/>
        </w:rPr>
      </w:pPr>
      <w:r>
        <w:rPr>
          <w:rFonts w:hint="eastAsia" w:ascii="仿宋" w:hAnsi="仿宋" w:eastAsia="仿宋" w:cs="仿宋"/>
          <w:sz w:val="32"/>
          <w:szCs w:val="32"/>
          <w:highlight w:val="none"/>
        </w:rPr>
        <w:t>采购项目名称：</w:t>
      </w:r>
      <w:r>
        <w:rPr>
          <w:rFonts w:hint="eastAsia" w:ascii="仿宋" w:hAnsi="仿宋" w:eastAsia="仿宋" w:cs="仿宋"/>
          <w:sz w:val="32"/>
          <w:szCs w:val="32"/>
          <w:highlight w:val="none"/>
          <w:u w:val="single"/>
        </w:rPr>
        <w:t xml:space="preserve"> 2025年北部湾港钦州港域港口设施保安演习拖轮租赁服务</w:t>
      </w:r>
      <w:r>
        <w:rPr>
          <w:rFonts w:hint="eastAsia" w:ascii="仿宋" w:hAnsi="仿宋" w:eastAsia="仿宋" w:cs="仿宋"/>
          <w:sz w:val="32"/>
          <w:szCs w:val="32"/>
          <w:highlight w:val="none"/>
        </w:rPr>
        <w:t xml:space="preserve">                                                     单位：人民币元</w:t>
      </w:r>
    </w:p>
    <w:tbl>
      <w:tblPr>
        <w:tblStyle w:val="19"/>
        <w:tblW w:w="8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687"/>
        <w:gridCol w:w="1561"/>
        <w:gridCol w:w="1713"/>
        <w:gridCol w:w="2410"/>
      </w:tblGrid>
      <w:tr w14:paraId="3B951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81" w:type="dxa"/>
            <w:noWrap/>
            <w:vAlign w:val="center"/>
          </w:tcPr>
          <w:p w14:paraId="71CA9D71">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序号</w:t>
            </w:r>
          </w:p>
        </w:tc>
        <w:tc>
          <w:tcPr>
            <w:tcW w:w="1687" w:type="dxa"/>
            <w:noWrap/>
            <w:vAlign w:val="center"/>
          </w:tcPr>
          <w:p w14:paraId="26245643">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拖轮名称</w:t>
            </w:r>
          </w:p>
        </w:tc>
        <w:tc>
          <w:tcPr>
            <w:tcW w:w="1561" w:type="dxa"/>
            <w:vAlign w:val="center"/>
          </w:tcPr>
          <w:p w14:paraId="4F3006B4">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马力</w:t>
            </w:r>
          </w:p>
        </w:tc>
        <w:tc>
          <w:tcPr>
            <w:tcW w:w="1713" w:type="dxa"/>
            <w:noWrap/>
            <w:vAlign w:val="center"/>
          </w:tcPr>
          <w:p w14:paraId="4F6B2444">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元/艘次</w:t>
            </w:r>
          </w:p>
        </w:tc>
        <w:tc>
          <w:tcPr>
            <w:tcW w:w="2410" w:type="dxa"/>
            <w:noWrap/>
            <w:vAlign w:val="center"/>
          </w:tcPr>
          <w:p w14:paraId="01F91160">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备注          （正演/预演）</w:t>
            </w:r>
          </w:p>
        </w:tc>
      </w:tr>
      <w:tr w14:paraId="0788A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881" w:type="dxa"/>
            <w:noWrap/>
            <w:vAlign w:val="center"/>
          </w:tcPr>
          <w:p w14:paraId="7FBED529">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1</w:t>
            </w:r>
          </w:p>
        </w:tc>
        <w:tc>
          <w:tcPr>
            <w:tcW w:w="1687" w:type="dxa"/>
            <w:noWrap/>
            <w:vAlign w:val="center"/>
          </w:tcPr>
          <w:p w14:paraId="1B597D21">
            <w:pPr>
              <w:spacing w:line="600" w:lineRule="exact"/>
              <w:jc w:val="center"/>
              <w:rPr>
                <w:rFonts w:ascii="仿宋" w:hAnsi="仿宋" w:eastAsia="仿宋" w:cs="宋体"/>
                <w:kern w:val="0"/>
                <w:sz w:val="32"/>
                <w:szCs w:val="32"/>
                <w:highlight w:val="none"/>
              </w:rPr>
            </w:pPr>
          </w:p>
        </w:tc>
        <w:tc>
          <w:tcPr>
            <w:tcW w:w="1561" w:type="dxa"/>
            <w:vAlign w:val="center"/>
          </w:tcPr>
          <w:p w14:paraId="78800B6C">
            <w:pPr>
              <w:spacing w:line="600" w:lineRule="exact"/>
              <w:jc w:val="center"/>
              <w:rPr>
                <w:rFonts w:ascii="仿宋" w:hAnsi="仿宋" w:eastAsia="仿宋" w:cs="宋体"/>
                <w:kern w:val="0"/>
                <w:sz w:val="32"/>
                <w:szCs w:val="32"/>
                <w:highlight w:val="none"/>
              </w:rPr>
            </w:pPr>
          </w:p>
        </w:tc>
        <w:tc>
          <w:tcPr>
            <w:tcW w:w="1713" w:type="dxa"/>
            <w:noWrap/>
            <w:vAlign w:val="center"/>
          </w:tcPr>
          <w:p w14:paraId="17C9AA2F">
            <w:pPr>
              <w:spacing w:line="600" w:lineRule="exact"/>
              <w:jc w:val="center"/>
              <w:rPr>
                <w:rFonts w:ascii="仿宋" w:hAnsi="仿宋" w:eastAsia="仿宋" w:cs="宋体"/>
                <w:kern w:val="0"/>
                <w:sz w:val="32"/>
                <w:szCs w:val="32"/>
                <w:highlight w:val="none"/>
              </w:rPr>
            </w:pPr>
          </w:p>
        </w:tc>
        <w:tc>
          <w:tcPr>
            <w:tcW w:w="2410" w:type="dxa"/>
            <w:noWrap/>
            <w:vAlign w:val="center"/>
          </w:tcPr>
          <w:p w14:paraId="56AB0696">
            <w:pPr>
              <w:spacing w:line="600" w:lineRule="exact"/>
              <w:jc w:val="center"/>
              <w:rPr>
                <w:rFonts w:ascii="仿宋" w:hAnsi="仿宋" w:eastAsia="仿宋" w:cs="宋体"/>
                <w:kern w:val="0"/>
                <w:sz w:val="32"/>
                <w:szCs w:val="32"/>
                <w:highlight w:val="none"/>
              </w:rPr>
            </w:pPr>
          </w:p>
        </w:tc>
      </w:tr>
      <w:tr w14:paraId="2D16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881" w:type="dxa"/>
            <w:noWrap/>
            <w:vAlign w:val="center"/>
          </w:tcPr>
          <w:p w14:paraId="2B1D1888">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2</w:t>
            </w:r>
          </w:p>
        </w:tc>
        <w:tc>
          <w:tcPr>
            <w:tcW w:w="1687" w:type="dxa"/>
            <w:noWrap/>
            <w:vAlign w:val="center"/>
          </w:tcPr>
          <w:p w14:paraId="4F43BF4A">
            <w:pPr>
              <w:spacing w:line="600" w:lineRule="exact"/>
              <w:jc w:val="center"/>
              <w:rPr>
                <w:rFonts w:ascii="仿宋" w:hAnsi="仿宋" w:eastAsia="仿宋" w:cs="宋体"/>
                <w:kern w:val="0"/>
                <w:sz w:val="32"/>
                <w:szCs w:val="32"/>
                <w:highlight w:val="none"/>
              </w:rPr>
            </w:pPr>
          </w:p>
        </w:tc>
        <w:tc>
          <w:tcPr>
            <w:tcW w:w="1561" w:type="dxa"/>
            <w:vAlign w:val="center"/>
          </w:tcPr>
          <w:p w14:paraId="1DF5244E">
            <w:pPr>
              <w:spacing w:line="600" w:lineRule="exact"/>
              <w:jc w:val="center"/>
              <w:rPr>
                <w:rFonts w:ascii="仿宋" w:hAnsi="仿宋" w:eastAsia="仿宋" w:cs="宋体"/>
                <w:kern w:val="0"/>
                <w:sz w:val="32"/>
                <w:szCs w:val="32"/>
                <w:highlight w:val="none"/>
              </w:rPr>
            </w:pPr>
          </w:p>
        </w:tc>
        <w:tc>
          <w:tcPr>
            <w:tcW w:w="1713" w:type="dxa"/>
            <w:noWrap/>
            <w:vAlign w:val="center"/>
          </w:tcPr>
          <w:p w14:paraId="1FD9FE6C">
            <w:pPr>
              <w:spacing w:line="600" w:lineRule="exact"/>
              <w:jc w:val="center"/>
              <w:rPr>
                <w:rFonts w:ascii="仿宋" w:hAnsi="仿宋" w:eastAsia="仿宋" w:cs="宋体"/>
                <w:kern w:val="0"/>
                <w:sz w:val="32"/>
                <w:szCs w:val="32"/>
                <w:highlight w:val="none"/>
              </w:rPr>
            </w:pPr>
          </w:p>
        </w:tc>
        <w:tc>
          <w:tcPr>
            <w:tcW w:w="2410" w:type="dxa"/>
            <w:noWrap/>
            <w:vAlign w:val="center"/>
          </w:tcPr>
          <w:p w14:paraId="48B29F2F">
            <w:pPr>
              <w:spacing w:line="600" w:lineRule="exact"/>
              <w:jc w:val="center"/>
              <w:rPr>
                <w:rFonts w:ascii="仿宋" w:hAnsi="仿宋" w:eastAsia="仿宋" w:cs="宋体"/>
                <w:kern w:val="0"/>
                <w:sz w:val="32"/>
                <w:szCs w:val="32"/>
                <w:highlight w:val="none"/>
              </w:rPr>
            </w:pPr>
          </w:p>
        </w:tc>
      </w:tr>
      <w:tr w14:paraId="4848F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81" w:type="dxa"/>
            <w:noWrap/>
            <w:vAlign w:val="center"/>
          </w:tcPr>
          <w:p w14:paraId="41EB25B7">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3</w:t>
            </w:r>
          </w:p>
        </w:tc>
        <w:tc>
          <w:tcPr>
            <w:tcW w:w="1687" w:type="dxa"/>
            <w:noWrap/>
            <w:vAlign w:val="center"/>
          </w:tcPr>
          <w:p w14:paraId="506B8848">
            <w:pPr>
              <w:spacing w:line="600" w:lineRule="exact"/>
              <w:jc w:val="center"/>
              <w:rPr>
                <w:rFonts w:ascii="仿宋" w:hAnsi="仿宋" w:eastAsia="仿宋" w:cs="宋体"/>
                <w:kern w:val="0"/>
                <w:sz w:val="32"/>
                <w:szCs w:val="32"/>
                <w:highlight w:val="none"/>
              </w:rPr>
            </w:pPr>
          </w:p>
        </w:tc>
        <w:tc>
          <w:tcPr>
            <w:tcW w:w="1561" w:type="dxa"/>
            <w:vAlign w:val="center"/>
          </w:tcPr>
          <w:p w14:paraId="718DE10E">
            <w:pPr>
              <w:spacing w:line="600" w:lineRule="exact"/>
              <w:jc w:val="center"/>
              <w:rPr>
                <w:rFonts w:ascii="仿宋" w:hAnsi="仿宋" w:eastAsia="仿宋" w:cs="宋体"/>
                <w:kern w:val="0"/>
                <w:sz w:val="32"/>
                <w:szCs w:val="32"/>
                <w:highlight w:val="none"/>
              </w:rPr>
            </w:pPr>
          </w:p>
        </w:tc>
        <w:tc>
          <w:tcPr>
            <w:tcW w:w="1713" w:type="dxa"/>
            <w:noWrap/>
            <w:vAlign w:val="center"/>
          </w:tcPr>
          <w:p w14:paraId="21B94D38">
            <w:pPr>
              <w:spacing w:line="600" w:lineRule="exact"/>
              <w:jc w:val="center"/>
              <w:rPr>
                <w:rFonts w:ascii="仿宋" w:hAnsi="仿宋" w:eastAsia="仿宋" w:cs="宋体"/>
                <w:kern w:val="0"/>
                <w:sz w:val="32"/>
                <w:szCs w:val="32"/>
                <w:highlight w:val="none"/>
              </w:rPr>
            </w:pPr>
          </w:p>
        </w:tc>
        <w:tc>
          <w:tcPr>
            <w:tcW w:w="2410" w:type="dxa"/>
            <w:noWrap/>
            <w:vAlign w:val="center"/>
          </w:tcPr>
          <w:p w14:paraId="60F478D8">
            <w:pPr>
              <w:spacing w:line="600" w:lineRule="exact"/>
              <w:jc w:val="center"/>
              <w:rPr>
                <w:rFonts w:ascii="仿宋" w:hAnsi="仿宋" w:eastAsia="仿宋" w:cs="宋体"/>
                <w:kern w:val="0"/>
                <w:sz w:val="32"/>
                <w:szCs w:val="32"/>
                <w:highlight w:val="none"/>
              </w:rPr>
            </w:pPr>
          </w:p>
        </w:tc>
      </w:tr>
      <w:tr w14:paraId="59DD5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81" w:type="dxa"/>
            <w:noWrap/>
            <w:vAlign w:val="center"/>
          </w:tcPr>
          <w:p w14:paraId="0F2E96FD">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4</w:t>
            </w:r>
          </w:p>
        </w:tc>
        <w:tc>
          <w:tcPr>
            <w:tcW w:w="1687" w:type="dxa"/>
            <w:noWrap/>
            <w:vAlign w:val="center"/>
          </w:tcPr>
          <w:p w14:paraId="2D9A5DAE">
            <w:pPr>
              <w:spacing w:line="600" w:lineRule="exact"/>
              <w:jc w:val="center"/>
              <w:rPr>
                <w:rFonts w:ascii="仿宋" w:hAnsi="仿宋" w:eastAsia="仿宋" w:cs="宋体"/>
                <w:kern w:val="0"/>
                <w:sz w:val="32"/>
                <w:szCs w:val="32"/>
                <w:highlight w:val="none"/>
              </w:rPr>
            </w:pPr>
          </w:p>
        </w:tc>
        <w:tc>
          <w:tcPr>
            <w:tcW w:w="1561" w:type="dxa"/>
            <w:vAlign w:val="center"/>
          </w:tcPr>
          <w:p w14:paraId="0FF70CBF">
            <w:pPr>
              <w:spacing w:line="600" w:lineRule="exact"/>
              <w:jc w:val="center"/>
              <w:rPr>
                <w:rFonts w:ascii="仿宋" w:hAnsi="仿宋" w:eastAsia="仿宋" w:cs="宋体"/>
                <w:kern w:val="0"/>
                <w:sz w:val="32"/>
                <w:szCs w:val="32"/>
                <w:highlight w:val="none"/>
              </w:rPr>
            </w:pPr>
          </w:p>
        </w:tc>
        <w:tc>
          <w:tcPr>
            <w:tcW w:w="1713" w:type="dxa"/>
            <w:noWrap/>
            <w:vAlign w:val="center"/>
          </w:tcPr>
          <w:p w14:paraId="5B552427">
            <w:pPr>
              <w:spacing w:line="600" w:lineRule="exact"/>
              <w:jc w:val="center"/>
              <w:rPr>
                <w:rFonts w:ascii="仿宋" w:hAnsi="仿宋" w:eastAsia="仿宋" w:cs="宋体"/>
                <w:kern w:val="0"/>
                <w:sz w:val="32"/>
                <w:szCs w:val="32"/>
                <w:highlight w:val="none"/>
              </w:rPr>
            </w:pPr>
          </w:p>
        </w:tc>
        <w:tc>
          <w:tcPr>
            <w:tcW w:w="2410" w:type="dxa"/>
            <w:noWrap/>
            <w:vAlign w:val="center"/>
          </w:tcPr>
          <w:p w14:paraId="0CC44F1C">
            <w:pPr>
              <w:spacing w:line="600" w:lineRule="exact"/>
              <w:jc w:val="center"/>
              <w:rPr>
                <w:rFonts w:ascii="仿宋" w:hAnsi="仿宋" w:eastAsia="仿宋" w:cs="宋体"/>
                <w:kern w:val="0"/>
                <w:sz w:val="32"/>
                <w:szCs w:val="32"/>
                <w:highlight w:val="none"/>
              </w:rPr>
            </w:pPr>
          </w:p>
        </w:tc>
      </w:tr>
      <w:tr w14:paraId="3EC68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4129" w:type="dxa"/>
            <w:gridSpan w:val="3"/>
            <w:noWrap/>
            <w:vAlign w:val="center"/>
          </w:tcPr>
          <w:p w14:paraId="673A87CA">
            <w:pPr>
              <w:spacing w:line="600" w:lineRule="exact"/>
              <w:jc w:val="center"/>
              <w:rPr>
                <w:rFonts w:ascii="仿宋" w:hAnsi="仿宋" w:eastAsia="仿宋" w:cs="宋体"/>
                <w:kern w:val="0"/>
                <w:sz w:val="32"/>
                <w:szCs w:val="32"/>
                <w:highlight w:val="none"/>
              </w:rPr>
            </w:pPr>
            <w:r>
              <w:rPr>
                <w:rFonts w:hint="eastAsia" w:ascii="仿宋" w:hAnsi="仿宋" w:eastAsia="仿宋" w:cs="宋体"/>
                <w:kern w:val="0"/>
                <w:sz w:val="32"/>
                <w:szCs w:val="32"/>
                <w:highlight w:val="none"/>
              </w:rPr>
              <w:t>合计费用</w:t>
            </w:r>
          </w:p>
        </w:tc>
        <w:tc>
          <w:tcPr>
            <w:tcW w:w="4123" w:type="dxa"/>
            <w:gridSpan w:val="2"/>
            <w:noWrap/>
            <w:vAlign w:val="center"/>
          </w:tcPr>
          <w:p w14:paraId="545BC04B">
            <w:pPr>
              <w:spacing w:line="600" w:lineRule="exact"/>
              <w:jc w:val="center"/>
              <w:rPr>
                <w:rFonts w:ascii="仿宋" w:hAnsi="仿宋" w:eastAsia="仿宋" w:cs="宋体"/>
                <w:kern w:val="0"/>
                <w:sz w:val="32"/>
                <w:szCs w:val="32"/>
                <w:highlight w:val="none"/>
              </w:rPr>
            </w:pPr>
          </w:p>
        </w:tc>
      </w:tr>
    </w:tbl>
    <w:p w14:paraId="3522FBB9">
      <w:pPr>
        <w:spacing w:line="600" w:lineRule="exact"/>
        <w:contextualSpacing/>
        <w:jc w:val="left"/>
        <w:rPr>
          <w:rFonts w:ascii="仿宋" w:hAnsi="仿宋" w:eastAsia="仿宋" w:cs="仿宋"/>
          <w:sz w:val="32"/>
          <w:szCs w:val="32"/>
          <w:highlight w:val="none"/>
        </w:rPr>
      </w:pPr>
      <w:r>
        <w:rPr>
          <w:rFonts w:hint="eastAsia" w:ascii="仿宋" w:hAnsi="仿宋" w:eastAsia="仿宋" w:cs="仿宋"/>
          <w:sz w:val="32"/>
          <w:szCs w:val="32"/>
          <w:highlight w:val="none"/>
        </w:rPr>
        <w:t xml:space="preserve">注: </w:t>
      </w:r>
    </w:p>
    <w:p w14:paraId="3DAA7AEF">
      <w:pPr>
        <w:spacing w:line="600" w:lineRule="exact"/>
        <w:ind w:firstLine="640" w:firstLineChars="200"/>
        <w:contextualSpacing/>
        <w:jc w:val="left"/>
        <w:rPr>
          <w:rFonts w:ascii="仿宋" w:hAnsi="仿宋" w:eastAsia="仿宋" w:cs="仿宋"/>
          <w:sz w:val="32"/>
          <w:szCs w:val="32"/>
          <w:highlight w:val="none"/>
        </w:rPr>
      </w:pPr>
      <w:r>
        <w:rPr>
          <w:rFonts w:hint="eastAsia" w:ascii="仿宋" w:hAnsi="仿宋" w:eastAsia="仿宋" w:cs="仿宋"/>
          <w:sz w:val="32"/>
          <w:szCs w:val="32"/>
          <w:highlight w:val="none"/>
        </w:rPr>
        <w:t>1.供应商的报价表必须加盖供应商公章并由法定代表人或者委托代理人签字，</w:t>
      </w:r>
      <w:r>
        <w:rPr>
          <w:rFonts w:hint="eastAsia" w:ascii="仿宋" w:hAnsi="仿宋" w:eastAsia="仿宋" w:cs="仿宋"/>
          <w:b/>
          <w:sz w:val="32"/>
          <w:szCs w:val="32"/>
          <w:highlight w:val="none"/>
        </w:rPr>
        <w:t>否则其响应文件按无效响应处理</w:t>
      </w:r>
      <w:r>
        <w:rPr>
          <w:rFonts w:hint="eastAsia" w:ascii="仿宋" w:hAnsi="仿宋" w:eastAsia="仿宋" w:cs="仿宋"/>
          <w:sz w:val="32"/>
          <w:szCs w:val="32"/>
          <w:highlight w:val="none"/>
        </w:rPr>
        <w:t>。</w:t>
      </w:r>
    </w:p>
    <w:p w14:paraId="3D10E00F">
      <w:pPr>
        <w:spacing w:line="600" w:lineRule="exact"/>
        <w:ind w:firstLine="640" w:firstLineChars="200"/>
        <w:contextualSpacing/>
        <w:jc w:val="left"/>
        <w:rPr>
          <w:rFonts w:ascii="仿宋" w:hAnsi="仿宋" w:eastAsia="仿宋" w:cs="仿宋"/>
          <w:b/>
          <w:sz w:val="32"/>
          <w:szCs w:val="32"/>
          <w:highlight w:val="none"/>
        </w:rPr>
      </w:pPr>
      <w:r>
        <w:rPr>
          <w:rFonts w:hint="eastAsia" w:ascii="仿宋" w:hAnsi="仿宋" w:eastAsia="仿宋" w:cs="仿宋"/>
          <w:bCs/>
          <w:sz w:val="32"/>
          <w:szCs w:val="32"/>
          <w:highlight w:val="none"/>
        </w:rPr>
        <w:t>2.</w:t>
      </w:r>
      <w:r>
        <w:rPr>
          <w:rFonts w:hint="eastAsia" w:ascii="仿宋" w:hAnsi="仿宋" w:eastAsia="仿宋" w:cs="仿宋"/>
          <w:sz w:val="32"/>
          <w:szCs w:val="32"/>
          <w:highlight w:val="none"/>
        </w:rPr>
        <w:t>报价一经涂改，应在涂改处加盖供应商公章或者由法定代表人或者委托代理人签字或者盖章</w:t>
      </w:r>
      <w:r>
        <w:rPr>
          <w:rFonts w:hint="eastAsia" w:ascii="仿宋" w:hAnsi="仿宋" w:eastAsia="仿宋" w:cs="仿宋"/>
          <w:b/>
          <w:sz w:val="32"/>
          <w:szCs w:val="32"/>
          <w:highlight w:val="none"/>
        </w:rPr>
        <w:t>，否则其响应文件按无效响应处理。</w:t>
      </w:r>
    </w:p>
    <w:p w14:paraId="33786462">
      <w:pPr>
        <w:spacing w:line="600" w:lineRule="exact"/>
        <w:ind w:firstLine="640" w:firstLineChars="200"/>
        <w:contextualSpacing/>
        <w:rPr>
          <w:rFonts w:ascii="仿宋" w:hAnsi="仿宋" w:eastAsia="仿宋" w:cs="仿宋"/>
          <w:sz w:val="32"/>
          <w:szCs w:val="32"/>
          <w:highlight w:val="none"/>
        </w:rPr>
      </w:pPr>
    </w:p>
    <w:p w14:paraId="29119A37">
      <w:pPr>
        <w:spacing w:line="600" w:lineRule="exact"/>
        <w:ind w:firstLine="3520" w:firstLineChars="1100"/>
        <w:contextualSpacing/>
        <w:rPr>
          <w:rFonts w:ascii="仿宋" w:hAnsi="仿宋" w:eastAsia="仿宋" w:cs="仿宋"/>
          <w:sz w:val="32"/>
          <w:szCs w:val="32"/>
          <w:highlight w:val="none"/>
        </w:rPr>
      </w:pPr>
    </w:p>
    <w:p w14:paraId="091F475C">
      <w:pPr>
        <w:pStyle w:val="5"/>
        <w:overflowPunct w:val="0"/>
        <w:spacing w:line="600" w:lineRule="exact"/>
        <w:ind w:firstLine="0"/>
        <w:jc w:val="center"/>
        <w:rPr>
          <w:rFonts w:ascii="仿宋" w:hAnsi="仿宋" w:eastAsia="仿宋" w:cs="仿宋"/>
          <w:sz w:val="32"/>
          <w:szCs w:val="32"/>
          <w:highlight w:val="none"/>
        </w:rPr>
      </w:pPr>
      <w:r>
        <w:rPr>
          <w:rFonts w:hint="eastAsia" w:ascii="仿宋" w:hAnsi="仿宋" w:eastAsia="仿宋" w:cs="仿宋"/>
          <w:sz w:val="32"/>
          <w:szCs w:val="32"/>
          <w:highlight w:val="none"/>
        </w:rPr>
        <w:t xml:space="preserve">     供应商名称：</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（盖单位公章）</w:t>
      </w:r>
    </w:p>
    <w:p w14:paraId="280A56F0">
      <w:pPr>
        <w:pStyle w:val="5"/>
        <w:overflowPunct w:val="0"/>
        <w:spacing w:line="600" w:lineRule="exact"/>
        <w:ind w:firstLine="1971" w:firstLineChars="616"/>
        <w:rPr>
          <w:rFonts w:ascii="仿宋" w:hAnsi="仿宋" w:eastAsia="仿宋" w:cs="仿宋"/>
          <w:sz w:val="32"/>
          <w:szCs w:val="32"/>
          <w:highlight w:val="none"/>
        </w:rPr>
      </w:pPr>
      <w:r>
        <w:rPr>
          <w:rFonts w:hint="eastAsia" w:ascii="仿宋" w:hAnsi="仿宋" w:eastAsia="仿宋" w:cs="仿宋"/>
          <w:sz w:val="32"/>
          <w:szCs w:val="32"/>
          <w:highlight w:val="none"/>
        </w:rPr>
        <w:t>法定代表人或其委托代理人：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（签字）</w:t>
      </w:r>
    </w:p>
    <w:p w14:paraId="7DF05685">
      <w:pPr>
        <w:pStyle w:val="5"/>
        <w:overflowPunct w:val="0"/>
        <w:spacing w:line="600" w:lineRule="exact"/>
        <w:ind w:firstLine="4160" w:firstLineChars="1300"/>
        <w:rPr>
          <w:rFonts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日</w:t>
      </w:r>
    </w:p>
    <w:p w14:paraId="3B3E073F">
      <w:pPr>
        <w:spacing w:line="600" w:lineRule="exact"/>
        <w:ind w:firstLine="643" w:firstLineChars="200"/>
        <w:rPr>
          <w:rFonts w:ascii="方正小标宋_GBK" w:hAnsi="仿宋" w:eastAsia="方正小标宋_GBK"/>
          <w:sz w:val="40"/>
          <w:szCs w:val="32"/>
          <w:highlight w:val="none"/>
        </w:rPr>
      </w:pPr>
      <w:r>
        <w:rPr>
          <w:rFonts w:hint="eastAsia" w:ascii="仿宋" w:hAnsi="仿宋" w:eastAsia="仿宋" w:cs="仿宋"/>
          <w:b/>
          <w:sz w:val="32"/>
          <w:szCs w:val="32"/>
          <w:highlight w:val="none"/>
        </w:rPr>
        <w:br w:type="page"/>
      </w:r>
    </w:p>
    <w:p w14:paraId="02026325">
      <w:pPr>
        <w:pStyle w:val="3"/>
        <w:spacing w:before="0" w:after="0" w:line="600" w:lineRule="exact"/>
        <w:jc w:val="center"/>
        <w:rPr>
          <w:highlight w:val="none"/>
        </w:rPr>
      </w:pPr>
      <w:bookmarkStart w:id="35" w:name="_Toc5554"/>
      <w:bookmarkStart w:id="36" w:name="_Toc10947"/>
      <w:r>
        <w:rPr>
          <w:rFonts w:hint="eastAsia"/>
          <w:highlight w:val="none"/>
        </w:rPr>
        <w:t xml:space="preserve">第六章 </w:t>
      </w:r>
      <w:r>
        <w:rPr>
          <w:rFonts w:ascii="宋体" w:hAnsi="宋体" w:cs="宋体"/>
          <w:highlight w:val="none"/>
        </w:rPr>
        <w:t>合同</w:t>
      </w:r>
      <w:r>
        <w:rPr>
          <w:rFonts w:hint="eastAsia" w:ascii="宋体" w:hAnsi="宋体" w:cs="宋体"/>
          <w:highlight w:val="none"/>
        </w:rPr>
        <w:t>格式</w:t>
      </w:r>
      <w:r>
        <w:rPr>
          <w:rFonts w:ascii="宋体" w:hAnsi="宋体" w:cs="宋体"/>
          <w:highlight w:val="none"/>
        </w:rPr>
        <w:t>及主要条款</w:t>
      </w:r>
      <w:bookmarkEnd w:id="35"/>
      <w:bookmarkEnd w:id="36"/>
    </w:p>
    <w:p w14:paraId="3FEDF852">
      <w:pPr>
        <w:suppressAutoHyphens/>
        <w:spacing w:line="600" w:lineRule="exact"/>
        <w:ind w:firstLine="3920" w:firstLineChars="1400"/>
        <w:rPr>
          <w:rFonts w:ascii="仿宋" w:hAnsi="仿宋" w:eastAsia="仿宋"/>
          <w:sz w:val="28"/>
          <w:szCs w:val="22"/>
          <w:highlight w:val="none"/>
        </w:rPr>
      </w:pPr>
      <w:r>
        <w:rPr>
          <w:rFonts w:hint="eastAsia" w:ascii="仿宋" w:hAnsi="仿宋" w:eastAsia="仿宋"/>
          <w:sz w:val="28"/>
          <w:szCs w:val="22"/>
          <w:highlight w:val="none"/>
        </w:rPr>
        <w:t>甲方合同编号：</w:t>
      </w:r>
    </w:p>
    <w:p w14:paraId="532E721D">
      <w:pPr>
        <w:suppressAutoHyphens/>
        <w:spacing w:line="600" w:lineRule="exact"/>
        <w:ind w:firstLine="3920" w:firstLineChars="1400"/>
        <w:rPr>
          <w:rFonts w:ascii="仿宋" w:hAnsi="仿宋" w:eastAsia="仿宋"/>
          <w:sz w:val="28"/>
          <w:szCs w:val="22"/>
          <w:highlight w:val="none"/>
        </w:rPr>
      </w:pPr>
      <w:r>
        <w:rPr>
          <w:rFonts w:hint="eastAsia" w:ascii="仿宋" w:hAnsi="仿宋" w:eastAsia="仿宋"/>
          <w:sz w:val="28"/>
          <w:szCs w:val="22"/>
          <w:highlight w:val="none"/>
        </w:rPr>
        <w:t xml:space="preserve">乙方合同编号： </w:t>
      </w:r>
    </w:p>
    <w:p w14:paraId="050FED12">
      <w:pPr>
        <w:suppressAutoHyphens/>
        <w:spacing w:line="600" w:lineRule="exact"/>
        <w:ind w:firstLine="5320" w:firstLineChars="1900"/>
        <w:rPr>
          <w:rFonts w:ascii="仿宋" w:hAnsi="仿宋" w:eastAsia="仿宋"/>
          <w:sz w:val="28"/>
          <w:szCs w:val="22"/>
          <w:highlight w:val="none"/>
        </w:rPr>
      </w:pPr>
    </w:p>
    <w:p w14:paraId="1DCE6292">
      <w:pPr>
        <w:suppressAutoHyphens/>
        <w:spacing w:line="600" w:lineRule="exact"/>
        <w:rPr>
          <w:rFonts w:ascii="黑体" w:hAnsi="仿宋" w:eastAsia="黑体"/>
          <w:sz w:val="44"/>
          <w:szCs w:val="44"/>
          <w:highlight w:val="none"/>
        </w:rPr>
      </w:pPr>
      <w:r>
        <w:rPr>
          <w:rFonts w:hint="eastAsia" w:ascii="黑体" w:hAnsi="仿宋" w:eastAsia="黑体"/>
          <w:sz w:val="44"/>
          <w:szCs w:val="44"/>
          <w:highlight w:val="none"/>
        </w:rPr>
        <w:t xml:space="preserve">    </w:t>
      </w:r>
    </w:p>
    <w:p w14:paraId="1CB8BAEF">
      <w:pPr>
        <w:suppressAutoHyphens/>
        <w:spacing w:line="600" w:lineRule="exact"/>
        <w:jc w:val="center"/>
        <w:rPr>
          <w:rFonts w:ascii="黑体" w:hAnsi="仿宋" w:eastAsia="黑体"/>
          <w:sz w:val="44"/>
          <w:szCs w:val="44"/>
          <w:highlight w:val="none"/>
        </w:rPr>
      </w:pPr>
    </w:p>
    <w:p w14:paraId="6797A0FC">
      <w:pPr>
        <w:suppressAutoHyphens/>
        <w:spacing w:line="600" w:lineRule="exact"/>
        <w:jc w:val="center"/>
        <w:rPr>
          <w:rFonts w:ascii="宋体" w:hAnsi="宋体"/>
          <w:b/>
          <w:sz w:val="44"/>
          <w:szCs w:val="44"/>
          <w:highlight w:val="none"/>
          <w:u w:val="single"/>
        </w:rPr>
      </w:pPr>
      <w:r>
        <w:rPr>
          <w:rFonts w:hint="eastAsia" w:ascii="宋体" w:hAnsi="宋体"/>
          <w:b/>
          <w:sz w:val="44"/>
          <w:szCs w:val="44"/>
          <w:highlight w:val="none"/>
        </w:rPr>
        <w:t xml:space="preserve"> 服务合同</w:t>
      </w:r>
    </w:p>
    <w:p w14:paraId="456420CC">
      <w:pPr>
        <w:suppressAutoHyphens/>
        <w:spacing w:line="600" w:lineRule="exact"/>
        <w:rPr>
          <w:rFonts w:ascii="仿宋" w:hAnsi="仿宋" w:eastAsia="仿宋"/>
          <w:sz w:val="28"/>
          <w:szCs w:val="22"/>
          <w:highlight w:val="none"/>
        </w:rPr>
      </w:pPr>
    </w:p>
    <w:p w14:paraId="61FB49F4">
      <w:pPr>
        <w:suppressAutoHyphens/>
        <w:spacing w:line="600" w:lineRule="exact"/>
        <w:rPr>
          <w:rFonts w:ascii="仿宋" w:hAnsi="仿宋" w:eastAsia="仿宋"/>
          <w:sz w:val="28"/>
          <w:szCs w:val="22"/>
          <w:highlight w:val="none"/>
        </w:rPr>
      </w:pPr>
    </w:p>
    <w:p w14:paraId="70DAE04B">
      <w:pPr>
        <w:suppressAutoHyphens/>
        <w:spacing w:line="600" w:lineRule="exact"/>
        <w:rPr>
          <w:rFonts w:ascii="仿宋" w:hAnsi="仿宋" w:eastAsia="仿宋"/>
          <w:sz w:val="28"/>
          <w:szCs w:val="22"/>
          <w:highlight w:val="none"/>
        </w:rPr>
      </w:pPr>
    </w:p>
    <w:p w14:paraId="2434ED5B">
      <w:pPr>
        <w:suppressAutoHyphens/>
        <w:spacing w:line="600" w:lineRule="exact"/>
        <w:rPr>
          <w:rFonts w:ascii="仿宋" w:hAnsi="仿宋" w:eastAsia="仿宋"/>
          <w:sz w:val="28"/>
          <w:szCs w:val="22"/>
          <w:highlight w:val="none"/>
        </w:rPr>
      </w:pPr>
    </w:p>
    <w:p w14:paraId="66BD4E8B">
      <w:pPr>
        <w:suppressAutoHyphens/>
        <w:spacing w:line="600" w:lineRule="exact"/>
        <w:rPr>
          <w:rFonts w:ascii="仿宋" w:hAnsi="仿宋" w:eastAsia="仿宋"/>
          <w:sz w:val="28"/>
          <w:szCs w:val="22"/>
          <w:highlight w:val="none"/>
        </w:rPr>
      </w:pPr>
    </w:p>
    <w:p w14:paraId="01DA3AF8">
      <w:pPr>
        <w:pStyle w:val="2"/>
        <w:rPr>
          <w:rFonts w:ascii="仿宋" w:hAnsi="仿宋" w:eastAsia="仿宋"/>
          <w:sz w:val="28"/>
          <w:szCs w:val="22"/>
          <w:highlight w:val="none"/>
        </w:rPr>
      </w:pPr>
    </w:p>
    <w:p w14:paraId="1134CC2A">
      <w:pPr>
        <w:rPr>
          <w:highlight w:val="none"/>
        </w:rPr>
      </w:pPr>
    </w:p>
    <w:p w14:paraId="350D4A03">
      <w:pPr>
        <w:suppressAutoHyphens/>
        <w:spacing w:line="600" w:lineRule="exact"/>
        <w:rPr>
          <w:rFonts w:ascii="仿宋" w:hAnsi="仿宋" w:eastAsia="仿宋"/>
          <w:sz w:val="28"/>
          <w:szCs w:val="22"/>
          <w:highlight w:val="none"/>
        </w:rPr>
      </w:pPr>
    </w:p>
    <w:p w14:paraId="3EF20297">
      <w:pPr>
        <w:suppressAutoHyphens/>
        <w:spacing w:line="600" w:lineRule="exact"/>
        <w:rPr>
          <w:rFonts w:ascii="仿宋" w:hAnsi="仿宋" w:eastAsia="仿宋"/>
          <w:sz w:val="28"/>
          <w:szCs w:val="22"/>
          <w:highlight w:val="none"/>
        </w:rPr>
      </w:pPr>
    </w:p>
    <w:p w14:paraId="15E4DB24">
      <w:pPr>
        <w:suppressAutoHyphens/>
        <w:spacing w:line="600" w:lineRule="exact"/>
        <w:rPr>
          <w:rFonts w:ascii="仿宋" w:hAnsi="仿宋" w:eastAsia="仿宋"/>
          <w:sz w:val="28"/>
          <w:szCs w:val="22"/>
          <w:highlight w:val="none"/>
        </w:rPr>
      </w:pPr>
    </w:p>
    <w:p w14:paraId="32A348FD">
      <w:pPr>
        <w:suppressAutoHyphens/>
        <w:spacing w:line="600" w:lineRule="exact"/>
        <w:rPr>
          <w:rFonts w:ascii="仿宋" w:hAnsi="仿宋" w:eastAsia="仿宋"/>
          <w:sz w:val="28"/>
          <w:szCs w:val="22"/>
          <w:highlight w:val="none"/>
        </w:rPr>
      </w:pPr>
    </w:p>
    <w:p w14:paraId="3707B154">
      <w:pPr>
        <w:suppressAutoHyphens/>
        <w:spacing w:line="600" w:lineRule="exact"/>
        <w:rPr>
          <w:rFonts w:ascii="仿宋" w:hAnsi="仿宋" w:eastAsia="仿宋"/>
          <w:sz w:val="28"/>
          <w:szCs w:val="22"/>
          <w:highlight w:val="none"/>
        </w:rPr>
      </w:pPr>
    </w:p>
    <w:p w14:paraId="4764F5CC">
      <w:pPr>
        <w:suppressAutoHyphens/>
        <w:spacing w:line="600" w:lineRule="exact"/>
        <w:rPr>
          <w:rFonts w:ascii="仿宋" w:hAnsi="仿宋" w:eastAsia="仿宋"/>
          <w:sz w:val="28"/>
          <w:szCs w:val="22"/>
          <w:highlight w:val="none"/>
        </w:rPr>
      </w:pPr>
    </w:p>
    <w:p w14:paraId="2F3ADD60">
      <w:pPr>
        <w:suppressAutoHyphens/>
        <w:spacing w:line="600" w:lineRule="exact"/>
        <w:ind w:firstLine="1680" w:firstLineChars="600"/>
        <w:rPr>
          <w:rFonts w:ascii="仿宋_GB2312" w:hAnsi="仿宋" w:eastAsia="仿宋"/>
          <w:sz w:val="28"/>
          <w:szCs w:val="28"/>
          <w:highlight w:val="none"/>
          <w:u w:val="single"/>
        </w:rPr>
      </w:pPr>
      <w:r>
        <w:rPr>
          <w:rFonts w:hint="eastAsia" w:ascii="仿宋" w:hAnsi="仿宋" w:eastAsia="仿宋"/>
          <w:sz w:val="28"/>
          <w:szCs w:val="22"/>
          <w:highlight w:val="none"/>
        </w:rPr>
        <w:t>甲方：</w:t>
      </w:r>
      <w:r>
        <w:rPr>
          <w:rFonts w:hint="eastAsia" w:ascii="仿宋_GB2312" w:hAnsi="仿宋_GB2312" w:eastAsia="仿宋_GB2312" w:cs="仿宋_GB2312"/>
          <w:sz w:val="28"/>
          <w:szCs w:val="28"/>
          <w:highlight w:val="none"/>
          <w:u w:val="single"/>
        </w:rPr>
        <w:t>广西壮族自治区北部湾港口管理局钦州分局</w:t>
      </w:r>
    </w:p>
    <w:p w14:paraId="36225244">
      <w:pPr>
        <w:suppressAutoHyphens/>
        <w:spacing w:line="600" w:lineRule="exact"/>
        <w:ind w:firstLine="1680" w:firstLineChars="600"/>
        <w:jc w:val="left"/>
        <w:rPr>
          <w:rFonts w:ascii="仿宋_GB2312" w:hAnsi="仿宋_GB2312" w:eastAsia="仿宋" w:cs="仿宋_GB2312"/>
          <w:sz w:val="28"/>
          <w:szCs w:val="28"/>
          <w:highlight w:val="none"/>
          <w:u w:val="single"/>
        </w:rPr>
      </w:pPr>
      <w:r>
        <w:rPr>
          <w:rFonts w:hint="eastAsia" w:ascii="仿宋" w:hAnsi="仿宋" w:eastAsia="仿宋"/>
          <w:sz w:val="28"/>
          <w:szCs w:val="22"/>
          <w:highlight w:val="none"/>
        </w:rPr>
        <w:t>乙方：</w:t>
      </w:r>
      <w:r>
        <w:rPr>
          <w:rFonts w:hint="eastAsia" w:ascii="仿宋_GB2312" w:hAnsi="仿宋_GB2312" w:eastAsia="仿宋_GB2312" w:cs="仿宋_GB2312"/>
          <w:sz w:val="28"/>
          <w:szCs w:val="28"/>
          <w:highlight w:val="none"/>
          <w:u w:val="single"/>
        </w:rPr>
        <w:t xml:space="preserve">                             </w:t>
      </w:r>
    </w:p>
    <w:p w14:paraId="1F7BD112">
      <w:pPr>
        <w:spacing w:line="600" w:lineRule="exact"/>
        <w:jc w:val="center"/>
        <w:rPr>
          <w:rFonts w:hint="eastAsia" w:ascii="方正小标宋_GBK" w:hAnsi="方正小标宋_GBK" w:eastAsia="方正小标宋_GBK" w:cs="方正小标宋_GBK"/>
          <w:b/>
          <w:bCs/>
          <w:sz w:val="44"/>
          <w:szCs w:val="44"/>
          <w:highlight w:val="none"/>
        </w:rPr>
      </w:pPr>
      <w:r>
        <w:rPr>
          <w:rFonts w:hint="eastAsia" w:ascii="方正小标宋_GBK" w:hAnsi="方正小标宋_GBK" w:eastAsia="方正小标宋_GBK" w:cs="方正小标宋_GBK"/>
          <w:b/>
          <w:bCs/>
          <w:sz w:val="44"/>
          <w:szCs w:val="44"/>
          <w:highlight w:val="none"/>
        </w:rPr>
        <w:t>2025年北部湾港钦州港域港口设施</w:t>
      </w:r>
    </w:p>
    <w:p w14:paraId="1CBB8A71">
      <w:pPr>
        <w:spacing w:line="600" w:lineRule="exact"/>
        <w:jc w:val="center"/>
        <w:rPr>
          <w:rFonts w:hint="eastAsia" w:ascii="方正小标宋_GBK" w:hAnsi="方正小标宋_GBK" w:eastAsia="方正小标宋_GBK" w:cs="方正小标宋_GBK"/>
          <w:b/>
          <w:bCs/>
          <w:sz w:val="44"/>
          <w:szCs w:val="44"/>
          <w:highlight w:val="none"/>
        </w:rPr>
      </w:pPr>
      <w:r>
        <w:rPr>
          <w:rFonts w:hint="eastAsia" w:ascii="方正小标宋_GBK" w:hAnsi="方正小标宋_GBK" w:eastAsia="方正小标宋_GBK" w:cs="方正小标宋_GBK"/>
          <w:b/>
          <w:bCs/>
          <w:sz w:val="44"/>
          <w:szCs w:val="44"/>
          <w:highlight w:val="none"/>
        </w:rPr>
        <w:t>保安演习拖轮租赁服务合同</w:t>
      </w:r>
    </w:p>
    <w:p w14:paraId="3B85A2A6">
      <w:pPr>
        <w:spacing w:line="600" w:lineRule="exact"/>
        <w:rPr>
          <w:rFonts w:hint="eastAsia" w:ascii="仿宋" w:hAnsi="仿宋" w:eastAsia="仿宋" w:cs="仿宋"/>
          <w:b/>
          <w:bCs/>
          <w:sz w:val="32"/>
          <w:szCs w:val="32"/>
          <w:highlight w:val="none"/>
        </w:rPr>
      </w:pPr>
    </w:p>
    <w:p w14:paraId="1BE7E09F">
      <w:pPr>
        <w:spacing w:line="60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甲方：</w:t>
      </w:r>
      <w:r>
        <w:rPr>
          <w:rFonts w:hint="eastAsia" w:ascii="仿宋" w:hAnsi="仿宋" w:eastAsia="仿宋" w:cs="仿宋"/>
          <w:color w:val="000000"/>
          <w:sz w:val="32"/>
          <w:szCs w:val="32"/>
          <w:highlight w:val="none"/>
          <w:u w:val="single"/>
        </w:rPr>
        <w:t>广西壮族自治区北部湾港口管理局钦州分局</w:t>
      </w:r>
    </w:p>
    <w:p w14:paraId="6B7ED4B5">
      <w:pPr>
        <w:spacing w:line="60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乙方：</w:t>
      </w:r>
      <w:r>
        <w:rPr>
          <w:rFonts w:hint="eastAsia" w:ascii="仿宋" w:hAnsi="仿宋" w:eastAsia="仿宋" w:cs="仿宋"/>
          <w:sz w:val="32"/>
          <w:szCs w:val="32"/>
          <w:highlight w:val="none"/>
          <w:u w:val="single"/>
        </w:rPr>
        <w:t xml:space="preserve">                           </w:t>
      </w:r>
    </w:p>
    <w:p w14:paraId="7E868F87">
      <w:pPr>
        <w:spacing w:line="600" w:lineRule="exact"/>
        <w:ind w:firstLine="640" w:firstLineChars="200"/>
        <w:rPr>
          <w:rFonts w:hint="eastAsia" w:ascii="仿宋" w:hAnsi="仿宋" w:eastAsia="仿宋" w:cs="仿宋"/>
          <w:sz w:val="32"/>
          <w:szCs w:val="32"/>
          <w:highlight w:val="none"/>
        </w:rPr>
      </w:pPr>
    </w:p>
    <w:p w14:paraId="435048F4">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甲方因工作需要，向乙方租用拖轮2艘至北部湾港钦州码头有限公司</w:t>
      </w:r>
      <w:r>
        <w:rPr>
          <w:rFonts w:hint="eastAsia" w:ascii="仿宋" w:hAnsi="仿宋" w:eastAsia="仿宋" w:cs="仿宋"/>
          <w:bCs/>
          <w:sz w:val="32"/>
          <w:szCs w:val="32"/>
          <w:highlight w:val="none"/>
        </w:rPr>
        <w:t>北部湾港钦州港域大榄坪港区大榄坪作业区3号泊位</w:t>
      </w:r>
      <w:r>
        <w:rPr>
          <w:rFonts w:hint="eastAsia" w:ascii="仿宋" w:hAnsi="仿宋" w:eastAsia="仿宋" w:cs="仿宋"/>
          <w:sz w:val="32"/>
          <w:szCs w:val="32"/>
          <w:highlight w:val="none"/>
        </w:rPr>
        <w:t>码头海域用于开展2025年北部湾港钦州港域港口设施保安演习任务，根据《中华人民共和国民法典》及有关规定，为明确甲乙双方的权利义务关系，经双方协商一致，特签订本合同，以资共同遵守。</w:t>
      </w:r>
    </w:p>
    <w:p w14:paraId="6B390681">
      <w:pPr>
        <w:numPr>
          <w:ilvl w:val="0"/>
          <w:numId w:val="1"/>
        </w:numPr>
        <w:spacing w:line="600" w:lineRule="exact"/>
        <w:ind w:left="0"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工作内容</w:t>
      </w:r>
    </w:p>
    <w:p w14:paraId="7C654F92">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根据演习工作方案，协助甲方进行2025年北部湾港钦州港域港口设施保安演习任务，提供拖轮港口作业服务。</w:t>
      </w:r>
    </w:p>
    <w:p w14:paraId="2A2DE32D">
      <w:pPr>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二、合同金额及付款方式</w:t>
      </w:r>
    </w:p>
    <w:p w14:paraId="685B55CC">
      <w:pPr>
        <w:spacing w:line="600" w:lineRule="exact"/>
        <w:ind w:firstLine="640" w:firstLineChars="200"/>
        <w:rPr>
          <w:rFonts w:hint="eastAsia" w:ascii="仿宋" w:hAnsi="仿宋" w:eastAsia="仿宋" w:cs="仿宋"/>
          <w:sz w:val="32"/>
          <w:szCs w:val="32"/>
          <w:highlight w:val="none"/>
        </w:rPr>
      </w:pPr>
      <w:r>
        <w:rPr>
          <w:rFonts w:hint="eastAsia" w:ascii="楷体" w:hAnsi="楷体" w:eastAsia="楷体" w:cs="楷体"/>
          <w:sz w:val="32"/>
          <w:szCs w:val="32"/>
          <w:highlight w:val="none"/>
        </w:rPr>
        <w:t>（一）本合同价款（含税）总计为人民币小写：￥</w:t>
      </w:r>
      <w:r>
        <w:rPr>
          <w:rFonts w:hint="eastAsia" w:ascii="楷体" w:hAnsi="楷体" w:eastAsia="楷体" w:cs="楷体"/>
          <w:sz w:val="32"/>
          <w:szCs w:val="32"/>
          <w:highlight w:val="none"/>
          <w:u w:val="single"/>
        </w:rPr>
        <w:t xml:space="preserve">       </w:t>
      </w:r>
      <w:r>
        <w:rPr>
          <w:rFonts w:hint="eastAsia" w:ascii="楷体" w:hAnsi="楷体" w:eastAsia="楷体" w:cs="楷体"/>
          <w:sz w:val="32"/>
          <w:szCs w:val="32"/>
          <w:highlight w:val="none"/>
        </w:rPr>
        <w:t xml:space="preserve">元，大写: 人民币 </w:t>
      </w:r>
      <w:r>
        <w:rPr>
          <w:rFonts w:hint="eastAsia" w:ascii="楷体" w:hAnsi="楷体" w:eastAsia="楷体" w:cs="楷体"/>
          <w:sz w:val="32"/>
          <w:szCs w:val="32"/>
          <w:highlight w:val="none"/>
          <w:u w:val="single"/>
        </w:rPr>
        <w:t xml:space="preserve">   元整   </w:t>
      </w:r>
      <w:r>
        <w:rPr>
          <w:rFonts w:hint="eastAsia" w:ascii="楷体" w:hAnsi="楷体" w:eastAsia="楷体" w:cs="楷体"/>
          <w:sz w:val="32"/>
          <w:szCs w:val="32"/>
          <w:highlight w:val="none"/>
        </w:rPr>
        <w:t>。</w:t>
      </w:r>
    </w:p>
    <w:p w14:paraId="225A18D6">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备注：经甲、乙双方友好协商，拖轮费率单价为    元/艘，2艘拖轮预演习一次，正式演习一次，共4艘次。</w:t>
      </w:r>
    </w:p>
    <w:p w14:paraId="294C08F3">
      <w:pPr>
        <w:spacing w:line="600" w:lineRule="exact"/>
        <w:ind w:firstLine="640" w:firstLineChars="200"/>
        <w:rPr>
          <w:rFonts w:hint="eastAsia" w:ascii="仿宋" w:hAnsi="仿宋" w:eastAsia="仿宋" w:cs="仿宋"/>
          <w:sz w:val="32"/>
          <w:szCs w:val="32"/>
          <w:highlight w:val="none"/>
        </w:rPr>
      </w:pPr>
      <w:r>
        <w:rPr>
          <w:rFonts w:hint="eastAsia" w:ascii="楷体" w:hAnsi="楷体" w:eastAsia="楷体" w:cs="楷体"/>
          <w:sz w:val="32"/>
          <w:szCs w:val="32"/>
          <w:highlight w:val="none"/>
        </w:rPr>
        <w:t>（二）在本次演习服务完成后，乙方的工作成果经甲方验</w:t>
      </w:r>
      <w:r>
        <w:rPr>
          <w:rFonts w:hint="eastAsia" w:ascii="仿宋" w:hAnsi="仿宋" w:eastAsia="仿宋" w:cs="仿宋"/>
          <w:sz w:val="32"/>
          <w:szCs w:val="32"/>
          <w:highlight w:val="none"/>
        </w:rPr>
        <w:t xml:space="preserve">收合格后，甲方在收到乙方开具的增值税普通发票后15个工作日支付合同款项 </w:t>
      </w:r>
      <w:r>
        <w:rPr>
          <w:rFonts w:hint="eastAsia" w:ascii="仿宋" w:hAnsi="仿宋" w:eastAsia="仿宋" w:cs="仿宋"/>
          <w:sz w:val="32"/>
          <w:szCs w:val="32"/>
          <w:highlight w:val="none"/>
          <w:u w:val="single"/>
        </w:rPr>
        <w:t xml:space="preserve">      元整</w:t>
      </w:r>
      <w:r>
        <w:rPr>
          <w:rFonts w:hint="eastAsia" w:ascii="仿宋" w:hAnsi="仿宋" w:eastAsia="仿宋" w:cs="仿宋"/>
          <w:sz w:val="32"/>
          <w:szCs w:val="32"/>
          <w:highlight w:val="none"/>
        </w:rPr>
        <w:t>（￥</w:t>
      </w:r>
      <w:r>
        <w:rPr>
          <w:rFonts w:hint="eastAsia" w:ascii="仿宋" w:hAnsi="仿宋" w:eastAsia="仿宋" w:cs="仿宋"/>
          <w:sz w:val="32"/>
          <w:szCs w:val="32"/>
          <w:highlight w:val="none"/>
          <w:u w:val="single"/>
        </w:rPr>
        <w:t xml:space="preserve">     元</w:t>
      </w:r>
      <w:r>
        <w:rPr>
          <w:rFonts w:hint="eastAsia" w:ascii="仿宋" w:hAnsi="仿宋" w:eastAsia="仿宋" w:cs="仿宋"/>
          <w:sz w:val="32"/>
          <w:szCs w:val="32"/>
          <w:highlight w:val="none"/>
        </w:rPr>
        <w:t>）。</w:t>
      </w:r>
    </w:p>
    <w:p w14:paraId="4407003B">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（三）本合同采取一次性转账付款方式，甲方应将合同款项打入乙方账户。乙方账户为：</w:t>
      </w:r>
    </w:p>
    <w:p w14:paraId="0A34CAA5">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帐  号：</w:t>
      </w:r>
      <w:r>
        <w:rPr>
          <w:rFonts w:hint="eastAsia" w:ascii="仿宋" w:hAnsi="仿宋" w:eastAsia="仿宋" w:cs="仿宋"/>
          <w:sz w:val="32"/>
          <w:szCs w:val="32"/>
          <w:highlight w:val="none"/>
          <w:u w:val="single"/>
        </w:rPr>
        <w:t xml:space="preserve">                            </w:t>
      </w:r>
    </w:p>
    <w:p w14:paraId="365E9A3A">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开户行：</w:t>
      </w:r>
      <w:r>
        <w:rPr>
          <w:rFonts w:hint="eastAsia" w:ascii="仿宋" w:hAnsi="仿宋" w:eastAsia="仿宋" w:cs="仿宋"/>
          <w:sz w:val="32"/>
          <w:szCs w:val="32"/>
          <w:highlight w:val="none"/>
          <w:u w:val="single"/>
        </w:rPr>
        <w:t xml:space="preserve">                            </w:t>
      </w:r>
    </w:p>
    <w:p w14:paraId="1D1A8D81">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户  名：</w:t>
      </w:r>
      <w:r>
        <w:rPr>
          <w:rFonts w:hint="eastAsia" w:ascii="仿宋" w:hAnsi="仿宋" w:eastAsia="仿宋" w:cs="仿宋"/>
          <w:sz w:val="32"/>
          <w:szCs w:val="32"/>
          <w:highlight w:val="none"/>
          <w:u w:val="single"/>
        </w:rPr>
        <w:t xml:space="preserve">                            </w:t>
      </w:r>
    </w:p>
    <w:p w14:paraId="65C37D1B">
      <w:pPr>
        <w:spacing w:line="600" w:lineRule="exact"/>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三、乙方提供服务的拖轮规范</w:t>
      </w:r>
    </w:p>
    <w:tbl>
      <w:tblPr>
        <w:tblStyle w:val="18"/>
        <w:tblW w:w="4997" w:type="pct"/>
        <w:tblInd w:w="0" w:type="dxa"/>
        <w:tblLayout w:type="autofit"/>
        <w:tblCellMar>
          <w:top w:w="0" w:type="dxa"/>
          <w:left w:w="108" w:type="dxa"/>
          <w:bottom w:w="0" w:type="dxa"/>
          <w:right w:w="108" w:type="dxa"/>
        </w:tblCellMar>
      </w:tblPr>
      <w:tblGrid>
        <w:gridCol w:w="1445"/>
        <w:gridCol w:w="1816"/>
        <w:gridCol w:w="1816"/>
        <w:gridCol w:w="2296"/>
        <w:gridCol w:w="1570"/>
      </w:tblGrid>
      <w:tr w14:paraId="22AA5BBA">
        <w:tblPrEx>
          <w:tblCellMar>
            <w:top w:w="0" w:type="dxa"/>
            <w:left w:w="108" w:type="dxa"/>
            <w:bottom w:w="0" w:type="dxa"/>
            <w:right w:w="108" w:type="dxa"/>
          </w:tblCellMar>
        </w:tblPrEx>
        <w:trPr>
          <w:trHeight w:val="285" w:hRule="atLeast"/>
        </w:trPr>
        <w:tc>
          <w:tcPr>
            <w:tcW w:w="1112" w:type="pct"/>
            <w:tcBorders>
              <w:top w:val="single" w:color="000000" w:sz="4" w:space="0"/>
              <w:left w:val="single" w:color="000000" w:sz="4" w:space="0"/>
              <w:bottom w:val="single" w:color="000000" w:sz="4" w:space="0"/>
              <w:right w:val="single" w:color="000000" w:sz="4" w:space="0"/>
            </w:tcBorders>
            <w:noWrap/>
            <w:vAlign w:val="center"/>
          </w:tcPr>
          <w:p w14:paraId="346A876E">
            <w:pPr>
              <w:widowControl/>
              <w:spacing w:line="600" w:lineRule="exact"/>
              <w:jc w:val="center"/>
              <w:textAlignment w:val="center"/>
              <w:rPr>
                <w:rFonts w:hint="eastAsia" w:ascii="仿宋" w:hAnsi="仿宋" w:eastAsia="仿宋" w:cs="仿宋"/>
                <w:sz w:val="32"/>
                <w:szCs w:val="32"/>
                <w:highlight w:val="none"/>
              </w:rPr>
            </w:pPr>
            <w:r>
              <w:rPr>
                <w:rFonts w:hint="eastAsia" w:ascii="仿宋" w:hAnsi="仿宋" w:eastAsia="仿宋" w:cs="仿宋"/>
                <w:kern w:val="0"/>
                <w:sz w:val="32"/>
                <w:szCs w:val="32"/>
                <w:highlight w:val="none"/>
                <w:lang w:bidi="ar"/>
              </w:rPr>
              <w:t>船名</w:t>
            </w: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4733BA5A">
            <w:pPr>
              <w:widowControl/>
              <w:spacing w:line="600" w:lineRule="exact"/>
              <w:jc w:val="center"/>
              <w:textAlignment w:val="center"/>
              <w:rPr>
                <w:rFonts w:hint="eastAsia" w:ascii="仿宋" w:hAnsi="仿宋" w:eastAsia="仿宋" w:cs="仿宋"/>
                <w:sz w:val="32"/>
                <w:szCs w:val="32"/>
                <w:highlight w:val="none"/>
              </w:rPr>
            </w:pPr>
            <w:r>
              <w:rPr>
                <w:rFonts w:hint="eastAsia" w:ascii="仿宋" w:hAnsi="仿宋" w:eastAsia="仿宋" w:cs="仿宋"/>
                <w:kern w:val="0"/>
                <w:sz w:val="32"/>
                <w:szCs w:val="32"/>
                <w:highlight w:val="none"/>
                <w:lang w:bidi="ar"/>
              </w:rPr>
              <w:t>总长（米）</w:t>
            </w: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50BCD428">
            <w:pPr>
              <w:widowControl/>
              <w:spacing w:line="600" w:lineRule="exact"/>
              <w:jc w:val="center"/>
              <w:textAlignment w:val="center"/>
              <w:rPr>
                <w:rFonts w:hint="eastAsia" w:ascii="仿宋" w:hAnsi="仿宋" w:eastAsia="仿宋" w:cs="仿宋"/>
                <w:sz w:val="32"/>
                <w:szCs w:val="32"/>
                <w:highlight w:val="none"/>
              </w:rPr>
            </w:pPr>
            <w:r>
              <w:rPr>
                <w:rFonts w:hint="eastAsia" w:ascii="仿宋" w:hAnsi="仿宋" w:eastAsia="仿宋" w:cs="仿宋"/>
                <w:kern w:val="0"/>
                <w:sz w:val="32"/>
                <w:szCs w:val="32"/>
                <w:highlight w:val="none"/>
                <w:lang w:bidi="ar"/>
              </w:rPr>
              <w:t>型宽（米）</w:t>
            </w:r>
          </w:p>
        </w:tc>
        <w:tc>
          <w:tcPr>
            <w:tcW w:w="1042" w:type="pct"/>
            <w:tcBorders>
              <w:top w:val="single" w:color="000000" w:sz="4" w:space="0"/>
              <w:left w:val="single" w:color="000000" w:sz="4" w:space="0"/>
              <w:bottom w:val="single" w:color="000000" w:sz="4" w:space="0"/>
              <w:right w:val="single" w:color="000000" w:sz="4" w:space="0"/>
            </w:tcBorders>
            <w:noWrap/>
            <w:vAlign w:val="center"/>
          </w:tcPr>
          <w:p w14:paraId="1B12C5F6">
            <w:pPr>
              <w:widowControl/>
              <w:spacing w:line="600" w:lineRule="exact"/>
              <w:jc w:val="center"/>
              <w:textAlignment w:val="center"/>
              <w:rPr>
                <w:rFonts w:hint="eastAsia" w:ascii="仿宋" w:hAnsi="仿宋" w:eastAsia="仿宋" w:cs="仿宋"/>
                <w:sz w:val="32"/>
                <w:szCs w:val="32"/>
                <w:highlight w:val="none"/>
              </w:rPr>
            </w:pPr>
            <w:r>
              <w:rPr>
                <w:rFonts w:hint="eastAsia" w:ascii="仿宋" w:hAnsi="仿宋" w:eastAsia="仿宋" w:cs="仿宋"/>
                <w:kern w:val="0"/>
                <w:sz w:val="32"/>
                <w:szCs w:val="32"/>
                <w:highlight w:val="none"/>
                <w:lang w:bidi="ar"/>
              </w:rPr>
              <w:t>总功率 （匹）</w:t>
            </w:r>
          </w:p>
        </w:tc>
        <w:tc>
          <w:tcPr>
            <w:tcW w:w="1182" w:type="pct"/>
            <w:tcBorders>
              <w:top w:val="single" w:color="000000" w:sz="4" w:space="0"/>
              <w:left w:val="single" w:color="000000" w:sz="4" w:space="0"/>
              <w:bottom w:val="single" w:color="000000" w:sz="4" w:space="0"/>
              <w:right w:val="single" w:color="000000" w:sz="4" w:space="0"/>
            </w:tcBorders>
            <w:noWrap/>
            <w:vAlign w:val="center"/>
          </w:tcPr>
          <w:p w14:paraId="11CF621C">
            <w:pPr>
              <w:widowControl/>
              <w:spacing w:line="600" w:lineRule="exact"/>
              <w:jc w:val="center"/>
              <w:textAlignment w:val="center"/>
              <w:rPr>
                <w:rFonts w:hint="eastAsia" w:ascii="仿宋" w:hAnsi="仿宋" w:eastAsia="仿宋" w:cs="仿宋"/>
                <w:sz w:val="32"/>
                <w:szCs w:val="32"/>
                <w:highlight w:val="none"/>
              </w:rPr>
            </w:pPr>
            <w:r>
              <w:rPr>
                <w:rFonts w:hint="eastAsia" w:ascii="仿宋" w:hAnsi="仿宋" w:eastAsia="仿宋" w:cs="仿宋"/>
                <w:kern w:val="0"/>
                <w:sz w:val="32"/>
                <w:szCs w:val="32"/>
                <w:highlight w:val="none"/>
                <w:lang w:bidi="ar"/>
              </w:rPr>
              <w:t>船舶类型</w:t>
            </w:r>
          </w:p>
        </w:tc>
      </w:tr>
      <w:tr w14:paraId="1EF6BA4B">
        <w:tblPrEx>
          <w:tblCellMar>
            <w:top w:w="0" w:type="dxa"/>
            <w:left w:w="108" w:type="dxa"/>
            <w:bottom w:w="0" w:type="dxa"/>
            <w:right w:w="108" w:type="dxa"/>
          </w:tblCellMar>
        </w:tblPrEx>
        <w:trPr>
          <w:trHeight w:val="285" w:hRule="atLeast"/>
        </w:trPr>
        <w:tc>
          <w:tcPr>
            <w:tcW w:w="1112" w:type="pct"/>
            <w:tcBorders>
              <w:top w:val="single" w:color="000000" w:sz="4" w:space="0"/>
              <w:left w:val="single" w:color="000000" w:sz="4" w:space="0"/>
              <w:bottom w:val="single" w:color="000000" w:sz="4" w:space="0"/>
              <w:right w:val="single" w:color="000000" w:sz="4" w:space="0"/>
            </w:tcBorders>
            <w:noWrap/>
            <w:vAlign w:val="center"/>
          </w:tcPr>
          <w:p w14:paraId="539B246E">
            <w:pPr>
              <w:widowControl/>
              <w:spacing w:line="600" w:lineRule="exact"/>
              <w:jc w:val="center"/>
              <w:textAlignment w:val="center"/>
              <w:rPr>
                <w:rFonts w:hint="eastAsia" w:ascii="仿宋" w:hAnsi="仿宋" w:eastAsia="仿宋" w:cs="仿宋"/>
                <w:kern w:val="0"/>
                <w:sz w:val="32"/>
                <w:szCs w:val="32"/>
                <w:highlight w:val="none"/>
                <w:lang w:bidi="ar"/>
              </w:rPr>
            </w:pP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7D5792F5">
            <w:pPr>
              <w:widowControl/>
              <w:spacing w:line="600" w:lineRule="exact"/>
              <w:jc w:val="center"/>
              <w:textAlignment w:val="center"/>
              <w:rPr>
                <w:rFonts w:hint="eastAsia" w:ascii="仿宋" w:hAnsi="仿宋" w:eastAsia="仿宋" w:cs="仿宋"/>
                <w:kern w:val="0"/>
                <w:sz w:val="32"/>
                <w:szCs w:val="32"/>
                <w:highlight w:val="none"/>
                <w:lang w:bidi="ar"/>
              </w:rPr>
            </w:pP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1611DA0C">
            <w:pPr>
              <w:widowControl/>
              <w:spacing w:line="600" w:lineRule="exact"/>
              <w:jc w:val="center"/>
              <w:textAlignment w:val="center"/>
              <w:rPr>
                <w:rFonts w:hint="eastAsia" w:ascii="仿宋" w:hAnsi="仿宋" w:eastAsia="仿宋" w:cs="仿宋"/>
                <w:kern w:val="0"/>
                <w:sz w:val="32"/>
                <w:szCs w:val="32"/>
                <w:highlight w:val="none"/>
                <w:lang w:bidi="ar"/>
              </w:rPr>
            </w:pPr>
          </w:p>
        </w:tc>
        <w:tc>
          <w:tcPr>
            <w:tcW w:w="1042" w:type="pct"/>
            <w:tcBorders>
              <w:top w:val="single" w:color="000000" w:sz="4" w:space="0"/>
              <w:left w:val="single" w:color="000000" w:sz="4" w:space="0"/>
              <w:bottom w:val="single" w:color="000000" w:sz="4" w:space="0"/>
              <w:right w:val="single" w:color="000000" w:sz="4" w:space="0"/>
            </w:tcBorders>
            <w:noWrap/>
            <w:vAlign w:val="center"/>
          </w:tcPr>
          <w:p w14:paraId="4EB4BE66">
            <w:pPr>
              <w:widowControl/>
              <w:spacing w:line="600" w:lineRule="exact"/>
              <w:jc w:val="center"/>
              <w:textAlignment w:val="center"/>
              <w:rPr>
                <w:rFonts w:hint="eastAsia" w:ascii="仿宋" w:hAnsi="仿宋" w:eastAsia="仿宋" w:cs="仿宋"/>
                <w:kern w:val="0"/>
                <w:sz w:val="32"/>
                <w:szCs w:val="32"/>
                <w:highlight w:val="none"/>
                <w:lang w:bidi="ar"/>
              </w:rPr>
            </w:pPr>
          </w:p>
        </w:tc>
        <w:tc>
          <w:tcPr>
            <w:tcW w:w="1182" w:type="pct"/>
            <w:tcBorders>
              <w:top w:val="single" w:color="000000" w:sz="4" w:space="0"/>
              <w:left w:val="single" w:color="000000" w:sz="4" w:space="0"/>
              <w:bottom w:val="single" w:color="000000" w:sz="4" w:space="0"/>
              <w:right w:val="single" w:color="000000" w:sz="4" w:space="0"/>
            </w:tcBorders>
            <w:noWrap/>
            <w:vAlign w:val="center"/>
          </w:tcPr>
          <w:p w14:paraId="203B3DED">
            <w:pPr>
              <w:widowControl/>
              <w:spacing w:line="600" w:lineRule="exact"/>
              <w:jc w:val="center"/>
              <w:textAlignment w:val="center"/>
              <w:rPr>
                <w:rFonts w:hint="eastAsia" w:ascii="仿宋" w:hAnsi="仿宋" w:eastAsia="仿宋" w:cs="仿宋"/>
                <w:kern w:val="0"/>
                <w:sz w:val="32"/>
                <w:szCs w:val="32"/>
                <w:highlight w:val="none"/>
                <w:lang w:bidi="ar"/>
              </w:rPr>
            </w:pPr>
          </w:p>
        </w:tc>
      </w:tr>
      <w:tr w14:paraId="037E196C">
        <w:tblPrEx>
          <w:tblCellMar>
            <w:top w:w="0" w:type="dxa"/>
            <w:left w:w="108" w:type="dxa"/>
            <w:bottom w:w="0" w:type="dxa"/>
            <w:right w:w="108" w:type="dxa"/>
          </w:tblCellMar>
        </w:tblPrEx>
        <w:trPr>
          <w:trHeight w:val="285" w:hRule="atLeast"/>
        </w:trPr>
        <w:tc>
          <w:tcPr>
            <w:tcW w:w="1112" w:type="pct"/>
            <w:tcBorders>
              <w:top w:val="single" w:color="000000" w:sz="4" w:space="0"/>
              <w:left w:val="single" w:color="000000" w:sz="4" w:space="0"/>
              <w:bottom w:val="single" w:color="000000" w:sz="4" w:space="0"/>
              <w:right w:val="single" w:color="000000" w:sz="4" w:space="0"/>
            </w:tcBorders>
            <w:noWrap/>
            <w:vAlign w:val="center"/>
          </w:tcPr>
          <w:p w14:paraId="7C28181F">
            <w:pPr>
              <w:widowControl/>
              <w:spacing w:line="600" w:lineRule="exact"/>
              <w:jc w:val="center"/>
              <w:textAlignment w:val="center"/>
              <w:rPr>
                <w:rFonts w:hint="eastAsia" w:ascii="仿宋" w:hAnsi="仿宋" w:eastAsia="仿宋" w:cs="仿宋"/>
                <w:kern w:val="0"/>
                <w:sz w:val="32"/>
                <w:szCs w:val="32"/>
                <w:highlight w:val="none"/>
                <w:lang w:bidi="ar"/>
              </w:rPr>
            </w:pP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302C6026">
            <w:pPr>
              <w:widowControl/>
              <w:spacing w:line="600" w:lineRule="exact"/>
              <w:jc w:val="center"/>
              <w:textAlignment w:val="center"/>
              <w:rPr>
                <w:rFonts w:hint="eastAsia" w:ascii="仿宋" w:hAnsi="仿宋" w:eastAsia="仿宋" w:cs="仿宋"/>
                <w:kern w:val="0"/>
                <w:sz w:val="32"/>
                <w:szCs w:val="32"/>
                <w:highlight w:val="none"/>
                <w:lang w:bidi="ar"/>
              </w:rPr>
            </w:pPr>
          </w:p>
        </w:tc>
        <w:tc>
          <w:tcPr>
            <w:tcW w:w="831" w:type="pct"/>
            <w:tcBorders>
              <w:top w:val="single" w:color="000000" w:sz="4" w:space="0"/>
              <w:left w:val="single" w:color="000000" w:sz="4" w:space="0"/>
              <w:bottom w:val="single" w:color="000000" w:sz="4" w:space="0"/>
              <w:right w:val="single" w:color="000000" w:sz="4" w:space="0"/>
            </w:tcBorders>
            <w:noWrap/>
            <w:vAlign w:val="center"/>
          </w:tcPr>
          <w:p w14:paraId="2991806E">
            <w:pPr>
              <w:widowControl/>
              <w:spacing w:line="600" w:lineRule="exact"/>
              <w:jc w:val="center"/>
              <w:textAlignment w:val="center"/>
              <w:rPr>
                <w:rFonts w:hint="eastAsia" w:ascii="仿宋" w:hAnsi="仿宋" w:eastAsia="仿宋" w:cs="仿宋"/>
                <w:kern w:val="0"/>
                <w:sz w:val="32"/>
                <w:szCs w:val="32"/>
                <w:highlight w:val="none"/>
                <w:lang w:bidi="ar"/>
              </w:rPr>
            </w:pPr>
          </w:p>
        </w:tc>
        <w:tc>
          <w:tcPr>
            <w:tcW w:w="1042" w:type="pct"/>
            <w:tcBorders>
              <w:top w:val="single" w:color="000000" w:sz="4" w:space="0"/>
              <w:left w:val="single" w:color="000000" w:sz="4" w:space="0"/>
              <w:bottom w:val="single" w:color="000000" w:sz="4" w:space="0"/>
              <w:right w:val="single" w:color="000000" w:sz="4" w:space="0"/>
            </w:tcBorders>
            <w:noWrap/>
            <w:vAlign w:val="center"/>
          </w:tcPr>
          <w:p w14:paraId="0462F235">
            <w:pPr>
              <w:widowControl/>
              <w:spacing w:line="600" w:lineRule="exact"/>
              <w:jc w:val="center"/>
              <w:textAlignment w:val="center"/>
              <w:rPr>
                <w:rFonts w:hint="eastAsia" w:ascii="仿宋" w:hAnsi="仿宋" w:eastAsia="仿宋" w:cs="仿宋"/>
                <w:kern w:val="0"/>
                <w:sz w:val="32"/>
                <w:szCs w:val="32"/>
                <w:highlight w:val="none"/>
                <w:lang w:bidi="ar"/>
              </w:rPr>
            </w:pPr>
          </w:p>
        </w:tc>
        <w:tc>
          <w:tcPr>
            <w:tcW w:w="1182" w:type="pct"/>
            <w:tcBorders>
              <w:top w:val="single" w:color="000000" w:sz="4" w:space="0"/>
              <w:left w:val="single" w:color="000000" w:sz="4" w:space="0"/>
              <w:bottom w:val="single" w:color="000000" w:sz="4" w:space="0"/>
              <w:right w:val="single" w:color="000000" w:sz="4" w:space="0"/>
            </w:tcBorders>
            <w:noWrap/>
            <w:vAlign w:val="center"/>
          </w:tcPr>
          <w:p w14:paraId="22FD6F09">
            <w:pPr>
              <w:widowControl/>
              <w:spacing w:line="600" w:lineRule="exact"/>
              <w:jc w:val="center"/>
              <w:textAlignment w:val="center"/>
              <w:rPr>
                <w:rFonts w:hint="eastAsia" w:ascii="仿宋" w:hAnsi="仿宋" w:eastAsia="仿宋" w:cs="仿宋"/>
                <w:kern w:val="0"/>
                <w:sz w:val="32"/>
                <w:szCs w:val="32"/>
                <w:highlight w:val="none"/>
                <w:lang w:bidi="ar"/>
              </w:rPr>
            </w:pPr>
          </w:p>
        </w:tc>
      </w:tr>
    </w:tbl>
    <w:p w14:paraId="5754017F">
      <w:pPr>
        <w:numPr>
          <w:ilvl w:val="0"/>
          <w:numId w:val="2"/>
        </w:numPr>
        <w:autoSpaceDE w:val="0"/>
        <w:autoSpaceDN w:val="0"/>
        <w:adjustRightInd w:val="0"/>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使用期限</w:t>
      </w:r>
    </w:p>
    <w:p w14:paraId="0F521687">
      <w:pPr>
        <w:autoSpaceDE w:val="0"/>
        <w:autoSpaceDN w:val="0"/>
        <w:adjustRightInd w:val="0"/>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预演习时间、正式演习时间各一天，具体使用时间以演习现场实际时间为准。</w:t>
      </w:r>
    </w:p>
    <w:p w14:paraId="6EE67AB6">
      <w:pPr>
        <w:spacing w:line="60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五、使用水域</w:t>
      </w:r>
      <w:bookmarkStart w:id="37" w:name="OLE_LINK1"/>
    </w:p>
    <w:p w14:paraId="4B7613B2">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北部湾港钦州码头有限公司大榄坪作业区3#泊位码头海域。</w:t>
      </w:r>
      <w:bookmarkEnd w:id="37"/>
    </w:p>
    <w:p w14:paraId="3E8873D1">
      <w:pPr>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六、甲方权利与义务</w:t>
      </w:r>
    </w:p>
    <w:p w14:paraId="1CA8B33C">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（一）甲方应向乙方提供具体的使用时间、使用地点并根据本合同规定及时支付费用；</w:t>
      </w:r>
    </w:p>
    <w:p w14:paraId="1D92A151">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（二）船舶租赁作业期间，甲方应合理调度并指挥船舶；</w:t>
      </w:r>
    </w:p>
    <w:p w14:paraId="38655E1D">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（三）甲方如停止租赁应提前0.5小时通知乙方；</w:t>
      </w:r>
    </w:p>
    <w:p w14:paraId="77232BC2">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（四）甲方不应向乙方提出安全水域外的航行要求。</w:t>
      </w:r>
    </w:p>
    <w:p w14:paraId="4A68FDD8">
      <w:pPr>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七、乙方权利与义务</w:t>
      </w:r>
    </w:p>
    <w:p w14:paraId="170B67FD">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（一）按合同约定提供适航的拖轮，保证拖轮符合规范并按照证书要求配备足够工作人员；</w:t>
      </w:r>
    </w:p>
    <w:p w14:paraId="1358A0B3">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（二）演习过程中按规范进行操作，确保安全；</w:t>
      </w:r>
    </w:p>
    <w:p w14:paraId="2276A81B">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（三）负责办理本方拖轮的保险；</w:t>
      </w:r>
    </w:p>
    <w:p w14:paraId="55A154B2">
      <w:pPr>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rPr>
        <w:t>（四）负责演习过程中与拖轮相关的安全责任。</w:t>
      </w:r>
    </w:p>
    <w:p w14:paraId="091BD273">
      <w:pPr>
        <w:spacing w:line="60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八、违约责任及其它</w:t>
      </w:r>
    </w:p>
    <w:p w14:paraId="2D83F961">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因一方造成另一方损失，违约方应承担相应的赔偿责任。</w:t>
      </w:r>
    </w:p>
    <w:p w14:paraId="73222388">
      <w:pPr>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九、争议解决及其他</w:t>
      </w:r>
    </w:p>
    <w:p w14:paraId="2C9DE61A">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双方发生争议，应友好协商解决，如协商不一致，可提请所属地海事法院诉讼解决。本合同的未尽事宜，按《海商法》及《中华人民共和国民法典》的有关规定，经双方共同协商作出补充规定，补充规定与本合同具有同等的效力。</w:t>
      </w:r>
    </w:p>
    <w:p w14:paraId="36FFD9A7">
      <w:pPr>
        <w:spacing w:line="600" w:lineRule="exact"/>
        <w:ind w:firstLine="643" w:firstLineChars="200"/>
        <w:rPr>
          <w:rFonts w:hint="eastAsia" w:ascii="黑体" w:hAnsi="黑体" w:eastAsia="黑体" w:cs="黑体"/>
          <w:b/>
          <w:bCs/>
          <w:sz w:val="32"/>
          <w:szCs w:val="32"/>
          <w:highlight w:val="none"/>
        </w:rPr>
      </w:pPr>
      <w:r>
        <w:rPr>
          <w:rFonts w:hint="eastAsia" w:ascii="黑体" w:hAnsi="黑体" w:eastAsia="黑体" w:cs="黑体"/>
          <w:b/>
          <w:bCs/>
          <w:sz w:val="32"/>
          <w:szCs w:val="32"/>
          <w:highlight w:val="none"/>
        </w:rPr>
        <w:t>十、合同效力</w:t>
      </w:r>
    </w:p>
    <w:p w14:paraId="551A2112">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本合同一式陆份，甲方叁份，乙方叁份，签字盖章生效。</w:t>
      </w:r>
    </w:p>
    <w:p w14:paraId="155E68D0">
      <w:pPr>
        <w:spacing w:line="600" w:lineRule="exact"/>
        <w:ind w:firstLine="320" w:firstLineChars="100"/>
        <w:rPr>
          <w:rFonts w:hint="eastAsia" w:ascii="仿宋" w:hAnsi="仿宋" w:eastAsia="仿宋" w:cs="仿宋"/>
          <w:sz w:val="32"/>
          <w:szCs w:val="32"/>
          <w:highlight w:val="none"/>
        </w:rPr>
      </w:pPr>
      <w:r>
        <w:rPr>
          <w:rFonts w:hint="eastAsia" w:ascii="仿宋" w:hAnsi="仿宋" w:eastAsia="仿宋" w:cs="仿宋"/>
          <w:sz w:val="32"/>
          <w:szCs w:val="32"/>
          <w:highlight w:val="none"/>
        </w:rPr>
        <w:br w:type="page"/>
      </w:r>
    </w:p>
    <w:p w14:paraId="56631191">
      <w:pPr>
        <w:pStyle w:val="2"/>
        <w:spacing w:line="600" w:lineRule="exact"/>
        <w:rPr>
          <w:rFonts w:hint="eastAsia" w:ascii="仿宋" w:hAnsi="仿宋" w:eastAsia="仿宋" w:cs="仿宋"/>
          <w:sz w:val="32"/>
          <w:szCs w:val="32"/>
          <w:highlight w:val="none"/>
        </w:rPr>
      </w:pPr>
    </w:p>
    <w:p w14:paraId="07C27438">
      <w:pPr>
        <w:spacing w:line="600" w:lineRule="exact"/>
        <w:rPr>
          <w:rFonts w:hint="eastAsia" w:ascii="仿宋" w:hAnsi="仿宋" w:eastAsia="仿宋" w:cs="仿宋"/>
          <w:sz w:val="32"/>
          <w:szCs w:val="32"/>
          <w:highlight w:val="none"/>
        </w:rPr>
      </w:pPr>
    </w:p>
    <w:p w14:paraId="2634EB04">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甲方（盖章）：</w:t>
      </w:r>
      <w:r>
        <w:rPr>
          <w:rFonts w:hint="eastAsia" w:ascii="仿宋" w:hAnsi="仿宋" w:eastAsia="仿宋" w:cs="仿宋"/>
          <w:color w:val="000000"/>
          <w:sz w:val="32"/>
          <w:szCs w:val="32"/>
          <w:highlight w:val="none"/>
        </w:rPr>
        <w:t>广西壮族自治区北部湾港口管理局钦州分局</w:t>
      </w:r>
    </w:p>
    <w:p w14:paraId="070C9D95">
      <w:pPr>
        <w:spacing w:line="600" w:lineRule="exact"/>
        <w:ind w:firstLine="644" w:firstLineChars="200"/>
        <w:rPr>
          <w:rFonts w:hint="eastAsia" w:ascii="仿宋" w:hAnsi="仿宋" w:eastAsia="仿宋" w:cs="仿宋"/>
          <w:spacing w:val="1"/>
          <w:sz w:val="32"/>
          <w:szCs w:val="32"/>
          <w:highlight w:val="none"/>
        </w:rPr>
      </w:pPr>
    </w:p>
    <w:p w14:paraId="3D31B958">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法定代表人或授权人：</w:t>
      </w:r>
    </w:p>
    <w:p w14:paraId="565075EC">
      <w:pPr>
        <w:spacing w:line="600" w:lineRule="exact"/>
        <w:ind w:firstLine="640" w:firstLineChars="200"/>
        <w:jc w:val="left"/>
        <w:rPr>
          <w:rFonts w:hint="eastAsia" w:ascii="仿宋" w:hAnsi="仿宋" w:eastAsia="仿宋" w:cs="仿宋"/>
          <w:sz w:val="32"/>
          <w:szCs w:val="32"/>
          <w:highlight w:val="none"/>
        </w:rPr>
      </w:pPr>
    </w:p>
    <w:p w14:paraId="2FBD39E9">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时间：   年  月  日 </w:t>
      </w:r>
    </w:p>
    <w:p w14:paraId="2FDFD761">
      <w:pPr>
        <w:spacing w:line="600" w:lineRule="exact"/>
        <w:ind w:firstLine="640" w:firstLineChars="200"/>
        <w:jc w:val="left"/>
        <w:rPr>
          <w:rFonts w:hint="eastAsia" w:ascii="仿宋" w:hAnsi="仿宋" w:eastAsia="仿宋" w:cs="仿宋"/>
          <w:sz w:val="32"/>
          <w:szCs w:val="32"/>
          <w:highlight w:val="none"/>
        </w:rPr>
      </w:pPr>
    </w:p>
    <w:p w14:paraId="092D19C5">
      <w:pPr>
        <w:spacing w:line="600" w:lineRule="exact"/>
        <w:ind w:firstLine="640" w:firstLineChars="200"/>
        <w:jc w:val="left"/>
        <w:rPr>
          <w:rFonts w:hint="eastAsia" w:ascii="仿宋" w:hAnsi="仿宋" w:eastAsia="仿宋" w:cs="仿宋"/>
          <w:sz w:val="32"/>
          <w:szCs w:val="32"/>
          <w:highlight w:val="none"/>
        </w:rPr>
      </w:pPr>
    </w:p>
    <w:p w14:paraId="01DF49E9">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乙方（盖章）：北部湾港钦州码头有限公司           </w:t>
      </w:r>
    </w:p>
    <w:p w14:paraId="1CFD8DC2">
      <w:pPr>
        <w:spacing w:line="600" w:lineRule="exact"/>
        <w:ind w:firstLine="640" w:firstLineChars="200"/>
        <w:rPr>
          <w:rFonts w:hint="eastAsia" w:ascii="仿宋" w:hAnsi="仿宋" w:eastAsia="仿宋" w:cs="仿宋"/>
          <w:sz w:val="32"/>
          <w:szCs w:val="32"/>
          <w:highlight w:val="none"/>
        </w:rPr>
      </w:pPr>
    </w:p>
    <w:p w14:paraId="478FFFC7">
      <w:pPr>
        <w:spacing w:line="600" w:lineRule="exact"/>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法定代表人或授权人：</w:t>
      </w:r>
    </w:p>
    <w:p w14:paraId="3564BA3A">
      <w:pPr>
        <w:spacing w:line="600" w:lineRule="exact"/>
        <w:ind w:firstLine="640" w:firstLineChars="200"/>
        <w:rPr>
          <w:rFonts w:hint="eastAsia" w:ascii="仿宋" w:hAnsi="仿宋" w:eastAsia="仿宋" w:cs="仿宋"/>
          <w:sz w:val="32"/>
          <w:szCs w:val="32"/>
          <w:highlight w:val="none"/>
        </w:rPr>
      </w:pPr>
    </w:p>
    <w:p w14:paraId="5C7D1928">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时间：   年  月  日 </w:t>
      </w:r>
    </w:p>
    <w:p w14:paraId="763522BE">
      <w:pPr>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w:t>
      </w:r>
    </w:p>
    <w:p w14:paraId="4F7C6B75">
      <w:pPr>
        <w:spacing w:line="600" w:lineRule="exact"/>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签订地点：</w:t>
      </w:r>
    </w:p>
    <w:p w14:paraId="41E0E31F">
      <w:pPr>
        <w:pStyle w:val="2"/>
        <w:spacing w:line="600" w:lineRule="exact"/>
        <w:rPr>
          <w:rFonts w:ascii="方正仿宋_GBK" w:hAnsi="方正仿宋_GBK" w:eastAsia="方正仿宋_GBK" w:cs="方正仿宋_GBK"/>
          <w:sz w:val="28"/>
          <w:szCs w:val="28"/>
          <w:highlight w:val="none"/>
        </w:rPr>
      </w:pPr>
    </w:p>
    <w:p w14:paraId="5AA5E343">
      <w:pPr>
        <w:spacing w:line="600" w:lineRule="exact"/>
        <w:rPr>
          <w:rFonts w:ascii="方正仿宋_GBK" w:hAnsi="方正仿宋_GBK" w:eastAsia="方正仿宋_GBK" w:cs="方正仿宋_GBK"/>
          <w:sz w:val="28"/>
          <w:szCs w:val="28"/>
          <w:highlight w:val="none"/>
        </w:rPr>
      </w:pPr>
    </w:p>
    <w:p w14:paraId="7D64D7F8">
      <w:pPr>
        <w:pStyle w:val="2"/>
        <w:spacing w:line="600" w:lineRule="exact"/>
        <w:rPr>
          <w:rFonts w:hAnsi="宋体"/>
          <w:sz w:val="28"/>
          <w:szCs w:val="28"/>
          <w:highlight w:val="none"/>
        </w:rPr>
      </w:pPr>
    </w:p>
    <w:p w14:paraId="44C110D7">
      <w:pPr>
        <w:spacing w:line="600" w:lineRule="exact"/>
        <w:rPr>
          <w:rFonts w:ascii="宋体" w:hAnsi="宋体" w:cs="宋体"/>
          <w:sz w:val="28"/>
          <w:szCs w:val="28"/>
          <w:highlight w:val="none"/>
        </w:rPr>
      </w:pPr>
    </w:p>
    <w:p w14:paraId="46CD537F">
      <w:pPr>
        <w:pStyle w:val="2"/>
        <w:rPr>
          <w:highlight w:val="none"/>
        </w:rPr>
      </w:pPr>
    </w:p>
    <w:p w14:paraId="2A054CA6">
      <w:pPr>
        <w:rPr>
          <w:rFonts w:hint="eastAsia"/>
          <w:highlight w:val="none"/>
        </w:rPr>
      </w:pPr>
    </w:p>
    <w:p w14:paraId="4BFD8CBE">
      <w:pPr>
        <w:pStyle w:val="25"/>
        <w:keepNext w:val="0"/>
        <w:keepLines w:val="0"/>
        <w:pageBreakBefore w:val="0"/>
        <w:widowControl w:val="0"/>
        <w:kinsoku/>
        <w:wordWrap/>
        <w:overflowPunct/>
        <w:topLinePunct w:val="0"/>
        <w:autoSpaceDE/>
        <w:autoSpaceDN/>
        <w:bidi w:val="0"/>
        <w:adjustRightInd/>
        <w:snapToGrid w:val="0"/>
        <w:spacing w:line="540" w:lineRule="exact"/>
        <w:ind w:firstLine="880" w:firstLineChars="200"/>
        <w:jc w:val="center"/>
        <w:textAlignment w:val="auto"/>
        <w:rPr>
          <w:rFonts w:ascii="方正小标宋_GBK" w:hAnsi="方正小标宋_GBK" w:eastAsia="方正小标宋_GBK" w:cs="方正小标宋_GBK"/>
          <w:b/>
          <w:bCs/>
          <w:sz w:val="44"/>
          <w:szCs w:val="44"/>
          <w:highlight w:val="none"/>
        </w:rPr>
      </w:pPr>
      <w:r>
        <w:rPr>
          <w:rFonts w:hint="eastAsia" w:ascii="方正小标宋_GBK" w:hAnsi="方正小标宋_GBK" w:eastAsia="方正小标宋_GBK" w:cs="方正小标宋_GBK"/>
          <w:b/>
          <w:bCs/>
          <w:sz w:val="44"/>
          <w:szCs w:val="44"/>
          <w:highlight w:val="none"/>
        </w:rPr>
        <w:t>安全管理协议</w:t>
      </w:r>
    </w:p>
    <w:p w14:paraId="590D29F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p>
    <w:p w14:paraId="6910CE5C">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为</w:t>
      </w:r>
      <w:r>
        <w:rPr>
          <w:rFonts w:hint="eastAsia" w:ascii="仿宋" w:hAnsi="仿宋" w:eastAsia="仿宋" w:cs="仿宋"/>
          <w:snapToGrid w:val="0"/>
          <w:kern w:val="0"/>
          <w:sz w:val="32"/>
          <w:szCs w:val="32"/>
          <w:highlight w:val="none"/>
          <w:u w:val="single"/>
        </w:rPr>
        <w:t>2025年</w:t>
      </w:r>
      <w:r>
        <w:rPr>
          <w:rFonts w:ascii="仿宋" w:hAnsi="仿宋" w:eastAsia="仿宋" w:cs="仿宋"/>
          <w:snapToGrid w:val="0"/>
          <w:kern w:val="0"/>
          <w:sz w:val="32"/>
          <w:szCs w:val="32"/>
          <w:highlight w:val="none"/>
          <w:u w:val="single"/>
        </w:rPr>
        <w:t>北部湾</w:t>
      </w:r>
      <w:r>
        <w:rPr>
          <w:rFonts w:hint="eastAsia" w:ascii="仿宋" w:hAnsi="仿宋" w:eastAsia="仿宋" w:cs="仿宋"/>
          <w:snapToGrid w:val="0"/>
          <w:kern w:val="0"/>
          <w:sz w:val="32"/>
          <w:szCs w:val="32"/>
          <w:highlight w:val="none"/>
          <w:u w:val="single"/>
        </w:rPr>
        <w:t>港</w:t>
      </w:r>
      <w:r>
        <w:rPr>
          <w:rFonts w:ascii="仿宋" w:hAnsi="仿宋" w:eastAsia="仿宋" w:cs="仿宋"/>
          <w:snapToGrid w:val="0"/>
          <w:kern w:val="0"/>
          <w:sz w:val="32"/>
          <w:szCs w:val="32"/>
          <w:highlight w:val="none"/>
          <w:u w:val="single"/>
        </w:rPr>
        <w:t>钦州港域港口设施</w:t>
      </w:r>
      <w:r>
        <w:rPr>
          <w:rFonts w:hint="eastAsia" w:ascii="仿宋" w:hAnsi="仿宋" w:eastAsia="仿宋" w:cs="仿宋"/>
          <w:sz w:val="32"/>
          <w:szCs w:val="32"/>
          <w:highlight w:val="none"/>
          <w:u w:val="single"/>
        </w:rPr>
        <w:t>保安演习</w:t>
      </w:r>
      <w:r>
        <w:rPr>
          <w:rFonts w:hint="eastAsia" w:ascii="仿宋" w:hAnsi="仿宋" w:eastAsia="仿宋" w:cs="仿宋"/>
          <w:snapToGrid w:val="0"/>
          <w:kern w:val="0"/>
          <w:sz w:val="32"/>
          <w:szCs w:val="32"/>
          <w:highlight w:val="none"/>
        </w:rPr>
        <w:t>实施过程中创造安全、高效的工作环境，切实搞好本演习的安全管理工作，本业主</w:t>
      </w:r>
      <w:r>
        <w:rPr>
          <w:rFonts w:hint="eastAsia" w:ascii="仿宋" w:hAnsi="仿宋" w:eastAsia="仿宋" w:cs="仿宋"/>
          <w:snapToGrid w:val="0"/>
          <w:kern w:val="0"/>
          <w:sz w:val="32"/>
          <w:szCs w:val="32"/>
          <w:highlight w:val="none"/>
          <w:u w:val="single"/>
        </w:rPr>
        <w:t>广西壮族自治区北部湾港港口管理局钦州分局</w:t>
      </w:r>
      <w:r>
        <w:rPr>
          <w:rFonts w:hint="eastAsia" w:ascii="仿宋" w:hAnsi="仿宋" w:eastAsia="仿宋" w:cs="仿宋"/>
          <w:snapToGrid w:val="0"/>
          <w:kern w:val="0"/>
          <w:sz w:val="32"/>
          <w:szCs w:val="32"/>
          <w:highlight w:val="none"/>
        </w:rPr>
        <w:t>（以下简称“甲方”）与</w:t>
      </w:r>
      <w:r>
        <w:rPr>
          <w:rFonts w:hint="eastAsia" w:ascii="仿宋" w:hAnsi="仿宋" w:eastAsia="仿宋" w:cs="仿宋"/>
          <w:snapToGrid w:val="0"/>
          <w:kern w:val="0"/>
          <w:sz w:val="32"/>
          <w:szCs w:val="32"/>
          <w:highlight w:val="none"/>
          <w:u w:val="single"/>
        </w:rPr>
        <w:t xml:space="preserve">      </w:t>
      </w:r>
      <w:r>
        <w:rPr>
          <w:rFonts w:hint="eastAsia" w:ascii="仿宋" w:hAnsi="仿宋" w:eastAsia="仿宋" w:cs="仿宋"/>
          <w:snapToGrid w:val="0"/>
          <w:kern w:val="0"/>
          <w:sz w:val="32"/>
          <w:szCs w:val="32"/>
          <w:highlight w:val="none"/>
        </w:rPr>
        <w:t>（以下简称“乙方”）特此签订安全管理协议：</w:t>
      </w:r>
    </w:p>
    <w:p w14:paraId="44C99E80">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snapToGrid w:val="0"/>
          <w:kern w:val="0"/>
          <w:sz w:val="32"/>
          <w:szCs w:val="32"/>
          <w:highlight w:val="none"/>
        </w:rPr>
      </w:pPr>
      <w:r>
        <w:rPr>
          <w:rFonts w:hint="eastAsia" w:ascii="黑体" w:hAnsi="黑体" w:eastAsia="黑体" w:cs="黑体"/>
          <w:snapToGrid w:val="0"/>
          <w:kern w:val="0"/>
          <w:sz w:val="32"/>
          <w:szCs w:val="32"/>
          <w:highlight w:val="none"/>
        </w:rPr>
        <w:t>一、甲方职责</w:t>
      </w:r>
    </w:p>
    <w:p w14:paraId="05D270B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1．严格遵守国家有关安全管理的法律法规，认真执行合同中的有关安全要求。</w:t>
      </w:r>
    </w:p>
    <w:p w14:paraId="753BCD2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2．按照“安全第一、生命</w:t>
      </w:r>
      <w:r>
        <w:rPr>
          <w:rFonts w:ascii="仿宋" w:hAnsi="仿宋" w:eastAsia="仿宋" w:cs="仿宋"/>
          <w:snapToGrid w:val="0"/>
          <w:kern w:val="0"/>
          <w:sz w:val="32"/>
          <w:szCs w:val="32"/>
          <w:highlight w:val="none"/>
        </w:rPr>
        <w:t>至上</w:t>
      </w:r>
      <w:r>
        <w:rPr>
          <w:rFonts w:hint="eastAsia" w:ascii="仿宋" w:hAnsi="仿宋" w:eastAsia="仿宋" w:cs="仿宋"/>
          <w:snapToGrid w:val="0"/>
          <w:kern w:val="0"/>
          <w:sz w:val="32"/>
          <w:szCs w:val="32"/>
          <w:highlight w:val="none"/>
        </w:rPr>
        <w:t>”原则进行现场安全告知，做好现场安全秩序维护工作。</w:t>
      </w:r>
    </w:p>
    <w:p w14:paraId="1239A6B0">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3．协调</w:t>
      </w:r>
      <w:r>
        <w:rPr>
          <w:rFonts w:ascii="仿宋" w:hAnsi="仿宋" w:eastAsia="仿宋" w:cs="仿宋"/>
          <w:snapToGrid w:val="0"/>
          <w:kern w:val="0"/>
          <w:sz w:val="32"/>
          <w:szCs w:val="32"/>
          <w:highlight w:val="none"/>
        </w:rPr>
        <w:t>演习承办码头企业</w:t>
      </w:r>
      <w:r>
        <w:rPr>
          <w:rFonts w:hint="eastAsia" w:ascii="仿宋" w:hAnsi="仿宋" w:eastAsia="仿宋" w:cs="仿宋"/>
          <w:snapToGrid w:val="0"/>
          <w:kern w:val="0"/>
          <w:sz w:val="32"/>
          <w:szCs w:val="32"/>
          <w:highlight w:val="none"/>
        </w:rPr>
        <w:t>准备好相应安全、应急装备及消防、医护工作。</w:t>
      </w:r>
    </w:p>
    <w:p w14:paraId="48BC61DD">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4．明确进入开放区域，明确设施设备安全性能。</w:t>
      </w:r>
    </w:p>
    <w:p w14:paraId="7E03306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5．负有安全监督权利，有权利制止乙方不安全行为。</w:t>
      </w:r>
    </w:p>
    <w:p w14:paraId="5B64C67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snapToGrid w:val="0"/>
          <w:kern w:val="0"/>
          <w:sz w:val="32"/>
          <w:szCs w:val="32"/>
          <w:highlight w:val="none"/>
        </w:rPr>
      </w:pPr>
      <w:r>
        <w:rPr>
          <w:rFonts w:hint="eastAsia" w:ascii="黑体" w:hAnsi="黑体" w:eastAsia="黑体" w:cs="黑体"/>
          <w:snapToGrid w:val="0"/>
          <w:kern w:val="0"/>
          <w:sz w:val="32"/>
          <w:szCs w:val="32"/>
          <w:highlight w:val="none"/>
        </w:rPr>
        <w:t>二、乙方职责</w:t>
      </w:r>
    </w:p>
    <w:p w14:paraId="441DD3F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1．严格遵守国家有关安全管理的法律法规，认真执行合同中的有关安全要求，对</w:t>
      </w:r>
      <w:r>
        <w:rPr>
          <w:rFonts w:ascii="仿宋" w:hAnsi="仿宋" w:eastAsia="仿宋" w:cs="仿宋"/>
          <w:snapToGrid w:val="0"/>
          <w:kern w:val="0"/>
          <w:sz w:val="32"/>
          <w:szCs w:val="32"/>
          <w:highlight w:val="none"/>
        </w:rPr>
        <w:t>本单位</w:t>
      </w:r>
      <w:r>
        <w:rPr>
          <w:rFonts w:hint="eastAsia" w:ascii="仿宋" w:hAnsi="仿宋" w:eastAsia="仿宋" w:cs="仿宋"/>
          <w:snapToGrid w:val="0"/>
          <w:kern w:val="0"/>
          <w:sz w:val="32"/>
          <w:szCs w:val="32"/>
          <w:highlight w:val="none"/>
        </w:rPr>
        <w:t>负有安全管理责任。</w:t>
      </w:r>
    </w:p>
    <w:p w14:paraId="4759685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2．遵守现场对安全、消防、环保的统一管理，严格服从现场应急管理。</w:t>
      </w:r>
    </w:p>
    <w:p w14:paraId="4C03F77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3．严格落实设施设备安全等基本功能，确保安全可靠，人员及设备禁止进入未开放区。</w:t>
      </w:r>
    </w:p>
    <w:p w14:paraId="4F397CBA">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4．严格对人员进行安全培训，告知安全事项并配备好劳动防护用品。在任何时候都应采取各种合理的预防措施，防止其员工发生任何违法、违禁、暴力或妨碍治安的行为。</w:t>
      </w:r>
    </w:p>
    <w:p w14:paraId="6B72C60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5．遵守码头交通管理规定，主动避让码头作业机械，不得争抢道路。</w:t>
      </w:r>
    </w:p>
    <w:p w14:paraId="2D231DC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6．服从甲方安全管理工作的各项细则。</w:t>
      </w:r>
    </w:p>
    <w:p w14:paraId="373A609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snapToGrid w:val="0"/>
          <w:kern w:val="0"/>
          <w:sz w:val="32"/>
          <w:szCs w:val="32"/>
          <w:highlight w:val="none"/>
        </w:rPr>
      </w:pPr>
      <w:r>
        <w:rPr>
          <w:rFonts w:hint="eastAsia" w:ascii="黑体" w:hAnsi="黑体" w:eastAsia="黑体" w:cs="黑体"/>
          <w:snapToGrid w:val="0"/>
          <w:kern w:val="0"/>
          <w:sz w:val="32"/>
          <w:szCs w:val="32"/>
          <w:highlight w:val="none"/>
        </w:rPr>
        <w:t>三、违约责任</w:t>
      </w:r>
    </w:p>
    <w:p w14:paraId="5598600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如因乙方违约造成安全事故，将依法追究责任。</w:t>
      </w:r>
    </w:p>
    <w:p w14:paraId="51A8472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napToGrid w:val="0"/>
          <w:kern w:val="0"/>
          <w:sz w:val="32"/>
          <w:szCs w:val="32"/>
          <w:highlight w:val="none"/>
        </w:rPr>
        <w:t>本协议一式两份，甲方执壹份，乙方执壹份，具有同等法律效力。本协议由甲方法定代表人（或授权甲方）、乙方法定代表人（或授权甲方）签署并加盖单位公章后生效。</w:t>
      </w:r>
    </w:p>
    <w:tbl>
      <w:tblPr>
        <w:tblStyle w:val="18"/>
        <w:tblW w:w="9287" w:type="dxa"/>
        <w:tblInd w:w="0" w:type="dxa"/>
        <w:tblLayout w:type="fixed"/>
        <w:tblCellMar>
          <w:top w:w="0" w:type="dxa"/>
          <w:left w:w="108" w:type="dxa"/>
          <w:bottom w:w="0" w:type="dxa"/>
          <w:right w:w="108" w:type="dxa"/>
        </w:tblCellMar>
      </w:tblPr>
      <w:tblGrid>
        <w:gridCol w:w="4544"/>
        <w:gridCol w:w="4743"/>
      </w:tblGrid>
      <w:tr w14:paraId="0FF323E0">
        <w:tblPrEx>
          <w:tblCellMar>
            <w:top w:w="0" w:type="dxa"/>
            <w:left w:w="108" w:type="dxa"/>
            <w:bottom w:w="0" w:type="dxa"/>
            <w:right w:w="108" w:type="dxa"/>
          </w:tblCellMar>
        </w:tblPrEx>
        <w:trPr>
          <w:trHeight w:val="1643" w:hRule="atLeast"/>
        </w:trPr>
        <w:tc>
          <w:tcPr>
            <w:tcW w:w="4544" w:type="dxa"/>
            <w:vAlign w:val="center"/>
          </w:tcPr>
          <w:p w14:paraId="3FBE8AD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p>
          <w:p w14:paraId="0BE24F7A">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napToGrid w:val="0"/>
                <w:kern w:val="0"/>
                <w:sz w:val="32"/>
                <w:szCs w:val="32"/>
                <w:highlight w:val="none"/>
              </w:rPr>
            </w:pPr>
            <w:r>
              <w:rPr>
                <w:rFonts w:hint="eastAsia" w:ascii="仿宋" w:hAnsi="仿宋" w:eastAsia="仿宋" w:cs="仿宋"/>
                <w:sz w:val="32"/>
                <w:szCs w:val="32"/>
                <w:highlight w:val="none"/>
              </w:rPr>
              <w:t>甲</w:t>
            </w:r>
            <w:r>
              <w:rPr>
                <w:rFonts w:hint="eastAsia" w:ascii="仿宋" w:hAnsi="仿宋" w:eastAsia="仿宋" w:cs="仿宋"/>
                <w:snapToGrid w:val="0"/>
                <w:kern w:val="0"/>
                <w:sz w:val="32"/>
                <w:szCs w:val="32"/>
                <w:highlight w:val="none"/>
              </w:rPr>
              <w:t>方：广西壮族自治区北部湾港口管理局钦州分局</w:t>
            </w:r>
          </w:p>
          <w:p w14:paraId="040FB33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p>
          <w:p w14:paraId="695B32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（章）</w:t>
            </w:r>
          </w:p>
          <w:p w14:paraId="6A9FCE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p>
          <w:p w14:paraId="0FC5818D">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rPr>
              <w:t xml:space="preserve">    年   月   日</w:t>
            </w:r>
          </w:p>
        </w:tc>
        <w:tc>
          <w:tcPr>
            <w:tcW w:w="4743" w:type="dxa"/>
          </w:tcPr>
          <w:p w14:paraId="2707BA04">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p>
          <w:p w14:paraId="6E78035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乙方：</w:t>
            </w:r>
          </w:p>
          <w:p w14:paraId="0D25234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p>
          <w:p w14:paraId="64C7529A">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（章）</w:t>
            </w:r>
          </w:p>
          <w:p w14:paraId="4DB8C8C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 xml:space="preserve">        </w:t>
            </w:r>
          </w:p>
          <w:p w14:paraId="44FBEE5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 xml:space="preserve">    年   月   日</w:t>
            </w:r>
          </w:p>
        </w:tc>
      </w:tr>
      <w:tr w14:paraId="1EA10A00">
        <w:tblPrEx>
          <w:tblCellMar>
            <w:top w:w="0" w:type="dxa"/>
            <w:left w:w="108" w:type="dxa"/>
            <w:bottom w:w="0" w:type="dxa"/>
            <w:right w:w="108" w:type="dxa"/>
          </w:tblCellMar>
        </w:tblPrEx>
        <w:trPr>
          <w:trHeight w:val="759" w:hRule="atLeast"/>
        </w:trPr>
        <w:tc>
          <w:tcPr>
            <w:tcW w:w="4544" w:type="dxa"/>
            <w:vAlign w:val="center"/>
          </w:tcPr>
          <w:p w14:paraId="7DB3F88D">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单位地址：钦州市钦州港融</w:t>
            </w:r>
            <w:r>
              <w:rPr>
                <w:rFonts w:hint="eastAsia" w:ascii="仿宋" w:hAnsi="仿宋" w:eastAsia="仿宋" w:cs="仿宋"/>
                <w:sz w:val="32"/>
                <w:szCs w:val="32"/>
                <w:highlight w:val="none"/>
                <w:lang w:val="en-US" w:eastAsia="zh-CN"/>
              </w:rPr>
              <w:t>和</w:t>
            </w:r>
            <w:r>
              <w:rPr>
                <w:rFonts w:hint="eastAsia" w:ascii="仿宋" w:hAnsi="仿宋" w:eastAsia="仿宋" w:cs="仿宋"/>
                <w:sz w:val="32"/>
                <w:szCs w:val="32"/>
                <w:highlight w:val="none"/>
              </w:rPr>
              <w:t>大街20号</w:t>
            </w:r>
          </w:p>
        </w:tc>
        <w:tc>
          <w:tcPr>
            <w:tcW w:w="4743" w:type="dxa"/>
          </w:tcPr>
          <w:p w14:paraId="7C53318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rPr>
              <w:t>单位地址：</w:t>
            </w:r>
          </w:p>
        </w:tc>
      </w:tr>
      <w:tr w14:paraId="7567C03C">
        <w:tblPrEx>
          <w:tblCellMar>
            <w:top w:w="0" w:type="dxa"/>
            <w:left w:w="108" w:type="dxa"/>
            <w:bottom w:w="0" w:type="dxa"/>
            <w:right w:w="108" w:type="dxa"/>
          </w:tblCellMar>
        </w:tblPrEx>
        <w:trPr>
          <w:trHeight w:val="759" w:hRule="atLeast"/>
        </w:trPr>
        <w:tc>
          <w:tcPr>
            <w:tcW w:w="4544" w:type="dxa"/>
            <w:vAlign w:val="center"/>
          </w:tcPr>
          <w:p w14:paraId="23096DC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rPr>
              <w:t>法定代表人或其委托代理人（签字或盖章）：</w:t>
            </w:r>
          </w:p>
        </w:tc>
        <w:tc>
          <w:tcPr>
            <w:tcW w:w="4743" w:type="dxa"/>
          </w:tcPr>
          <w:p w14:paraId="3BC4511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rPr>
              <w:t>法定代表人或其委托代理人（签字或盖章）：</w:t>
            </w:r>
          </w:p>
        </w:tc>
      </w:tr>
      <w:tr w14:paraId="5C1E5CA3">
        <w:tblPrEx>
          <w:tblCellMar>
            <w:top w:w="0" w:type="dxa"/>
            <w:left w:w="108" w:type="dxa"/>
            <w:bottom w:w="0" w:type="dxa"/>
            <w:right w:w="108" w:type="dxa"/>
          </w:tblCellMar>
        </w:tblPrEx>
        <w:trPr>
          <w:trHeight w:val="759" w:hRule="atLeast"/>
        </w:trPr>
        <w:tc>
          <w:tcPr>
            <w:tcW w:w="4544" w:type="dxa"/>
            <w:vAlign w:val="center"/>
          </w:tcPr>
          <w:p w14:paraId="2846B8AE">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lang w:val="en-US" w:eastAsia="zh-CN"/>
              </w:rPr>
              <w:t>电话</w:t>
            </w:r>
            <w:r>
              <w:rPr>
                <w:rFonts w:hint="eastAsia" w:ascii="仿宋" w:hAnsi="仿宋" w:eastAsia="仿宋" w:cs="仿宋"/>
                <w:sz w:val="32"/>
                <w:szCs w:val="32"/>
                <w:highlight w:val="none"/>
              </w:rPr>
              <w:t>：</w:t>
            </w:r>
          </w:p>
        </w:tc>
        <w:tc>
          <w:tcPr>
            <w:tcW w:w="4743" w:type="dxa"/>
          </w:tcPr>
          <w:p w14:paraId="3C27C0D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ascii="仿宋" w:hAnsi="仿宋" w:eastAsia="仿宋" w:cs="仿宋"/>
                <w:b/>
                <w:sz w:val="32"/>
                <w:szCs w:val="32"/>
                <w:highlight w:val="none"/>
              </w:rPr>
            </w:pPr>
            <w:r>
              <w:rPr>
                <w:rFonts w:hint="eastAsia" w:ascii="仿宋" w:hAnsi="仿宋" w:eastAsia="仿宋" w:cs="仿宋"/>
                <w:sz w:val="32"/>
                <w:szCs w:val="32"/>
                <w:highlight w:val="none"/>
              </w:rPr>
              <w:t>电话：</w:t>
            </w:r>
          </w:p>
        </w:tc>
      </w:tr>
    </w:tbl>
    <w:p w14:paraId="4E090B26">
      <w:pPr>
        <w:rPr>
          <w:rFonts w:hint="eastAsia"/>
          <w:highlight w:val="none"/>
        </w:rPr>
      </w:pPr>
    </w:p>
    <w:p w14:paraId="1855BC60">
      <w:pPr>
        <w:spacing w:line="600" w:lineRule="exact"/>
        <w:ind w:firstLine="210" w:firstLineChars="100"/>
        <w:rPr>
          <w:highlight w:val="none"/>
        </w:rPr>
      </w:pPr>
    </w:p>
    <w:sectPr>
      <w:footerReference r:id="rId9" w:type="first"/>
      <w:headerReference r:id="rId7" w:type="default"/>
      <w:footerReference r:id="rId8" w:type="default"/>
      <w:pgSz w:w="11906" w:h="16838"/>
      <w:pgMar w:top="2098" w:right="1587" w:bottom="1587" w:left="1587" w:header="851" w:footer="56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38560">
    <w:pPr>
      <w:pStyle w:val="12"/>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267538">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0A267538">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v:textbox>
            </v:shape>
          </w:pict>
        </mc:Fallback>
      </mc:AlternateContent>
    </w:r>
  </w:p>
  <w:p w14:paraId="78A15140">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B4843">
    <w:pPr>
      <w:pStyle w:val="12"/>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DADEFE">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CDADEFE">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22A0D98E"/>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0288;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22A0D98E"/>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5DFCF">
    <w:pPr>
      <w:pStyle w:val="12"/>
      <w:jc w:val="center"/>
      <w:rPr>
        <w:rFonts w:ascii="宋体" w:hAnsi="宋体" w:cs="宋体"/>
        <w:sz w:val="28"/>
        <w:szCs w:val="28"/>
      </w:rPr>
    </w:pPr>
  </w:p>
  <w:p w14:paraId="2C4E006C">
    <w:pPr>
      <w:pStyle w:val="12"/>
      <w:jc w:val="cen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376918">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- 28 -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E376918">
                    <w:pPr>
                      <w:pStyle w:val="1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- 28 -</w:t>
                    </w:r>
                    <w:r>
                      <w:rPr>
                        <w:rFonts w:hint="eastAsia" w:ascii="宋体" w:hAnsi="宋体" w:cs="宋体"/>
                        <w:sz w:val="28"/>
                        <w:szCs w:val="28"/>
                      </w:rPr>
                      <w:fldChar w:fldCharType="end"/>
                    </w:r>
                  </w:p>
                </w:txbxContent>
              </v:textbox>
            </v:shape>
          </w:pict>
        </mc:Fallback>
      </mc:AlternateContent>
    </w:r>
  </w:p>
  <w:p w14:paraId="396F9ADA">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C1DF9">
    <w:pPr>
      <w:pStyle w:val="12"/>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39FAD8B9">
                          <w:pPr>
                            <w:pStyle w:val="12"/>
                          </w:pPr>
                          <w:r>
                            <w:rPr>
                              <w:rFonts w:hint="eastAsia"/>
                            </w:rPr>
                            <w:fldChar w:fldCharType="begin"/>
                          </w:r>
                          <w:r>
                            <w:rPr>
                              <w:rFonts w:hint="eastAsia"/>
                            </w:rPr>
                            <w:instrText xml:space="preserve"> PAGE  \* MERGEFORMAT </w:instrText>
                          </w:r>
                          <w:r>
                            <w:rPr>
                              <w:rFonts w:hint="eastAsia"/>
                            </w:rPr>
                            <w:fldChar w:fldCharType="separate"/>
                          </w:r>
                          <w:r>
                            <w:t>70</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left;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39FAD8B9">
                    <w:pPr>
                      <w:pStyle w:val="12"/>
                    </w:pPr>
                    <w:r>
                      <w:rPr>
                        <w:rFonts w:hint="eastAsia"/>
                      </w:rPr>
                      <w:fldChar w:fldCharType="begin"/>
                    </w:r>
                    <w:r>
                      <w:rPr>
                        <w:rFonts w:hint="eastAsia"/>
                      </w:rPr>
                      <w:instrText xml:space="preserve"> PAGE  \* MERGEFORMAT </w:instrText>
                    </w:r>
                    <w:r>
                      <w:rPr>
                        <w:rFonts w:hint="eastAsia"/>
                      </w:rPr>
                      <w:fldChar w:fldCharType="separate"/>
                    </w:r>
                    <w:r>
                      <w:t>70</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9F5EE">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1C574">
    <w:pPr>
      <w:pStyle w:val="1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ED36A">
    <w:pPr>
      <w:pStyle w:val="13"/>
      <w:pBdr>
        <w:bottom w:val="none" w:color="auto" w:sz="0" w:space="0"/>
      </w:pBdr>
      <w:tabs>
        <w:tab w:val="center" w:pos="0"/>
        <w:tab w:val="left" w:pos="8306"/>
        <w:tab w:val="clear" w:pos="4153"/>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97426C"/>
    <w:multiLevelType w:val="singleLevel"/>
    <w:tmpl w:val="BF97426C"/>
    <w:lvl w:ilvl="0" w:tentative="0">
      <w:start w:val="4"/>
      <w:numFmt w:val="chineseCounting"/>
      <w:suff w:val="nothing"/>
      <w:lvlText w:val="%1、"/>
      <w:lvlJc w:val="left"/>
      <w:rPr>
        <w:rFonts w:hint="eastAsia"/>
      </w:rPr>
    </w:lvl>
  </w:abstractNum>
  <w:abstractNum w:abstractNumId="1">
    <w:nsid w:val="5645900F"/>
    <w:multiLevelType w:val="singleLevel"/>
    <w:tmpl w:val="5645900F"/>
    <w:lvl w:ilvl="0" w:tentative="0">
      <w:start w:val="1"/>
      <w:numFmt w:val="chineseCounting"/>
      <w:suff w:val="nothing"/>
      <w:lvlText w:val="%1、"/>
      <w:lvlJc w:val="left"/>
      <w:pPr>
        <w:ind w:left="6" w:firstLine="420"/>
      </w:pPr>
      <w:rPr>
        <w:rFonts w:hint="eastAsia"/>
        <w:b/>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9DC"/>
    <w:rsid w:val="000F473D"/>
    <w:rsid w:val="001F01D7"/>
    <w:rsid w:val="004019DC"/>
    <w:rsid w:val="00675481"/>
    <w:rsid w:val="00863B59"/>
    <w:rsid w:val="00EF7950"/>
    <w:rsid w:val="011949CD"/>
    <w:rsid w:val="01711A9E"/>
    <w:rsid w:val="0179546C"/>
    <w:rsid w:val="019570D7"/>
    <w:rsid w:val="01E5421C"/>
    <w:rsid w:val="01FA1540"/>
    <w:rsid w:val="022E6267"/>
    <w:rsid w:val="0313749E"/>
    <w:rsid w:val="033F6241"/>
    <w:rsid w:val="046D1C7C"/>
    <w:rsid w:val="049E300F"/>
    <w:rsid w:val="060E0879"/>
    <w:rsid w:val="0697712B"/>
    <w:rsid w:val="06AA0FF0"/>
    <w:rsid w:val="06DD128C"/>
    <w:rsid w:val="06F3DBD7"/>
    <w:rsid w:val="06F4799A"/>
    <w:rsid w:val="07027CB2"/>
    <w:rsid w:val="07833FB5"/>
    <w:rsid w:val="07C1191B"/>
    <w:rsid w:val="07FB4E2D"/>
    <w:rsid w:val="08517143"/>
    <w:rsid w:val="08FD2E27"/>
    <w:rsid w:val="09371E95"/>
    <w:rsid w:val="09882D62"/>
    <w:rsid w:val="099C1B35"/>
    <w:rsid w:val="09CB4CD3"/>
    <w:rsid w:val="0A6A44EC"/>
    <w:rsid w:val="0B343DD0"/>
    <w:rsid w:val="0B5C2086"/>
    <w:rsid w:val="0BE75CAE"/>
    <w:rsid w:val="0BF73B5D"/>
    <w:rsid w:val="0D3F57BC"/>
    <w:rsid w:val="0E0634EC"/>
    <w:rsid w:val="0E1B71DB"/>
    <w:rsid w:val="0EC9647A"/>
    <w:rsid w:val="0F207639"/>
    <w:rsid w:val="0F421FA0"/>
    <w:rsid w:val="0FED9B23"/>
    <w:rsid w:val="0FF71CF8"/>
    <w:rsid w:val="10A51DDA"/>
    <w:rsid w:val="117860B8"/>
    <w:rsid w:val="11967974"/>
    <w:rsid w:val="11D75AE5"/>
    <w:rsid w:val="12F40DF6"/>
    <w:rsid w:val="130354DD"/>
    <w:rsid w:val="13544459"/>
    <w:rsid w:val="137F3191"/>
    <w:rsid w:val="140130C6"/>
    <w:rsid w:val="1440739B"/>
    <w:rsid w:val="148E68C8"/>
    <w:rsid w:val="14F8035A"/>
    <w:rsid w:val="15076514"/>
    <w:rsid w:val="15A207A1"/>
    <w:rsid w:val="15A23800"/>
    <w:rsid w:val="17996410"/>
    <w:rsid w:val="17A56343"/>
    <w:rsid w:val="18952734"/>
    <w:rsid w:val="18F002B2"/>
    <w:rsid w:val="19704F4F"/>
    <w:rsid w:val="199724DC"/>
    <w:rsid w:val="19FA13E8"/>
    <w:rsid w:val="1A5403CD"/>
    <w:rsid w:val="1ACD6659"/>
    <w:rsid w:val="1B39079C"/>
    <w:rsid w:val="1C124DF9"/>
    <w:rsid w:val="1C4371EF"/>
    <w:rsid w:val="1C5C2592"/>
    <w:rsid w:val="1D514F31"/>
    <w:rsid w:val="1D5900B3"/>
    <w:rsid w:val="1D5D57EA"/>
    <w:rsid w:val="1DA04055"/>
    <w:rsid w:val="1E627445"/>
    <w:rsid w:val="1EF73529"/>
    <w:rsid w:val="1F134CFA"/>
    <w:rsid w:val="1F264A2D"/>
    <w:rsid w:val="1FBC78A6"/>
    <w:rsid w:val="213F5933"/>
    <w:rsid w:val="21EF55AB"/>
    <w:rsid w:val="222A0391"/>
    <w:rsid w:val="22543660"/>
    <w:rsid w:val="2256394C"/>
    <w:rsid w:val="22D7024B"/>
    <w:rsid w:val="230B6414"/>
    <w:rsid w:val="23BF736A"/>
    <w:rsid w:val="23D902C0"/>
    <w:rsid w:val="243C084F"/>
    <w:rsid w:val="2451577E"/>
    <w:rsid w:val="24C845CE"/>
    <w:rsid w:val="25186BC6"/>
    <w:rsid w:val="251F0149"/>
    <w:rsid w:val="261A696E"/>
    <w:rsid w:val="26300A37"/>
    <w:rsid w:val="2652435A"/>
    <w:rsid w:val="26C54B2C"/>
    <w:rsid w:val="27A6670B"/>
    <w:rsid w:val="283A32F8"/>
    <w:rsid w:val="28CF3A40"/>
    <w:rsid w:val="29424212"/>
    <w:rsid w:val="29B45AEC"/>
    <w:rsid w:val="29D137E8"/>
    <w:rsid w:val="2A3864A5"/>
    <w:rsid w:val="2A3A7F62"/>
    <w:rsid w:val="2ACE1611"/>
    <w:rsid w:val="2BA44D80"/>
    <w:rsid w:val="2C5A55B7"/>
    <w:rsid w:val="2CCB7AFE"/>
    <w:rsid w:val="2CDC3B9F"/>
    <w:rsid w:val="2D10695C"/>
    <w:rsid w:val="2DA526D3"/>
    <w:rsid w:val="2E1D1132"/>
    <w:rsid w:val="2E902E0B"/>
    <w:rsid w:val="2F6D1F41"/>
    <w:rsid w:val="30A12166"/>
    <w:rsid w:val="30D525B6"/>
    <w:rsid w:val="317A6513"/>
    <w:rsid w:val="326673C7"/>
    <w:rsid w:val="32B0423D"/>
    <w:rsid w:val="32FC5A8C"/>
    <w:rsid w:val="33030EB6"/>
    <w:rsid w:val="337F6063"/>
    <w:rsid w:val="338C130E"/>
    <w:rsid w:val="33961BE0"/>
    <w:rsid w:val="33995133"/>
    <w:rsid w:val="341D48A3"/>
    <w:rsid w:val="34D67F04"/>
    <w:rsid w:val="34FF56AD"/>
    <w:rsid w:val="355025D0"/>
    <w:rsid w:val="369747F8"/>
    <w:rsid w:val="36FF4F51"/>
    <w:rsid w:val="371E0E3F"/>
    <w:rsid w:val="375171DD"/>
    <w:rsid w:val="3781125F"/>
    <w:rsid w:val="37C00F90"/>
    <w:rsid w:val="383E19B6"/>
    <w:rsid w:val="386D308A"/>
    <w:rsid w:val="3B273F0F"/>
    <w:rsid w:val="3B8D2885"/>
    <w:rsid w:val="3BF164F4"/>
    <w:rsid w:val="3BF34868"/>
    <w:rsid w:val="3C7D17BD"/>
    <w:rsid w:val="3C85293C"/>
    <w:rsid w:val="3C886401"/>
    <w:rsid w:val="3C9C1A33"/>
    <w:rsid w:val="3CF5326E"/>
    <w:rsid w:val="3CFE540F"/>
    <w:rsid w:val="3D4F12A7"/>
    <w:rsid w:val="3DFC07C5"/>
    <w:rsid w:val="3E5F2610"/>
    <w:rsid w:val="3FAF9744"/>
    <w:rsid w:val="3FFA8CB7"/>
    <w:rsid w:val="401B27F4"/>
    <w:rsid w:val="409A272E"/>
    <w:rsid w:val="42B9574A"/>
    <w:rsid w:val="42DA32B5"/>
    <w:rsid w:val="42DE0FF8"/>
    <w:rsid w:val="42EC16DC"/>
    <w:rsid w:val="43280190"/>
    <w:rsid w:val="43674A58"/>
    <w:rsid w:val="43AA712C"/>
    <w:rsid w:val="43DE0B83"/>
    <w:rsid w:val="445B21D4"/>
    <w:rsid w:val="447F11D3"/>
    <w:rsid w:val="44F25044"/>
    <w:rsid w:val="45D109A0"/>
    <w:rsid w:val="45DE4E6B"/>
    <w:rsid w:val="464F2FBF"/>
    <w:rsid w:val="466566A6"/>
    <w:rsid w:val="4669507C"/>
    <w:rsid w:val="468D3EB2"/>
    <w:rsid w:val="479E6D8B"/>
    <w:rsid w:val="47E66DF9"/>
    <w:rsid w:val="47FB70A5"/>
    <w:rsid w:val="4822782C"/>
    <w:rsid w:val="48C95918"/>
    <w:rsid w:val="49920446"/>
    <w:rsid w:val="49FC20A6"/>
    <w:rsid w:val="4B1F12E9"/>
    <w:rsid w:val="4BAF3531"/>
    <w:rsid w:val="4C131ABE"/>
    <w:rsid w:val="4CEB2AC3"/>
    <w:rsid w:val="4DC37D36"/>
    <w:rsid w:val="4E074F7B"/>
    <w:rsid w:val="4E5A4AD0"/>
    <w:rsid w:val="4EAC6DFC"/>
    <w:rsid w:val="4ED16067"/>
    <w:rsid w:val="4EEF52A4"/>
    <w:rsid w:val="4FB07878"/>
    <w:rsid w:val="4FC85E95"/>
    <w:rsid w:val="500F51F2"/>
    <w:rsid w:val="5062621F"/>
    <w:rsid w:val="51164525"/>
    <w:rsid w:val="513C1505"/>
    <w:rsid w:val="51962A9D"/>
    <w:rsid w:val="51F872B4"/>
    <w:rsid w:val="52236897"/>
    <w:rsid w:val="52330AC1"/>
    <w:rsid w:val="524E5A49"/>
    <w:rsid w:val="526945D1"/>
    <w:rsid w:val="5290573F"/>
    <w:rsid w:val="53000B16"/>
    <w:rsid w:val="53146370"/>
    <w:rsid w:val="534C572A"/>
    <w:rsid w:val="536C7F5A"/>
    <w:rsid w:val="543F741C"/>
    <w:rsid w:val="54D44FFD"/>
    <w:rsid w:val="54E029AD"/>
    <w:rsid w:val="550D64A7"/>
    <w:rsid w:val="55A73FB1"/>
    <w:rsid w:val="55AD62F2"/>
    <w:rsid w:val="5676006A"/>
    <w:rsid w:val="56AD768C"/>
    <w:rsid w:val="56B7773E"/>
    <w:rsid w:val="56D610F8"/>
    <w:rsid w:val="574B2280"/>
    <w:rsid w:val="57FDC9DC"/>
    <w:rsid w:val="58582CE8"/>
    <w:rsid w:val="58CE56E3"/>
    <w:rsid w:val="58E42BBD"/>
    <w:rsid w:val="59253085"/>
    <w:rsid w:val="59693FEE"/>
    <w:rsid w:val="5A80087F"/>
    <w:rsid w:val="5B3F878F"/>
    <w:rsid w:val="5B4163AB"/>
    <w:rsid w:val="5B773940"/>
    <w:rsid w:val="5BAE2A1B"/>
    <w:rsid w:val="5BAF1236"/>
    <w:rsid w:val="5C56151C"/>
    <w:rsid w:val="5D64347F"/>
    <w:rsid w:val="5D767C25"/>
    <w:rsid w:val="5DF76463"/>
    <w:rsid w:val="5E4E04F4"/>
    <w:rsid w:val="5E7B64A9"/>
    <w:rsid w:val="5F2E2D52"/>
    <w:rsid w:val="5F530F1F"/>
    <w:rsid w:val="5FFFAC55"/>
    <w:rsid w:val="607D5E0C"/>
    <w:rsid w:val="6086733C"/>
    <w:rsid w:val="610B7004"/>
    <w:rsid w:val="61271964"/>
    <w:rsid w:val="622917E1"/>
    <w:rsid w:val="622F6979"/>
    <w:rsid w:val="6270003D"/>
    <w:rsid w:val="63AB7D0A"/>
    <w:rsid w:val="640D4E41"/>
    <w:rsid w:val="64C53561"/>
    <w:rsid w:val="64CD66B2"/>
    <w:rsid w:val="650B49EC"/>
    <w:rsid w:val="65B53736"/>
    <w:rsid w:val="65C07C91"/>
    <w:rsid w:val="662F0637"/>
    <w:rsid w:val="66E16382"/>
    <w:rsid w:val="67F4653A"/>
    <w:rsid w:val="68466B73"/>
    <w:rsid w:val="685017A0"/>
    <w:rsid w:val="68F640F6"/>
    <w:rsid w:val="69132EFA"/>
    <w:rsid w:val="69DD6885"/>
    <w:rsid w:val="6AC02C0D"/>
    <w:rsid w:val="6AC077B6"/>
    <w:rsid w:val="6ADC01F6"/>
    <w:rsid w:val="6B1B3A0D"/>
    <w:rsid w:val="6B464BBC"/>
    <w:rsid w:val="6DDF75B0"/>
    <w:rsid w:val="6E0A419F"/>
    <w:rsid w:val="6E1F011C"/>
    <w:rsid w:val="6E4476B1"/>
    <w:rsid w:val="6F275E52"/>
    <w:rsid w:val="6F74272E"/>
    <w:rsid w:val="6F8A5598"/>
    <w:rsid w:val="6FF7803F"/>
    <w:rsid w:val="708E10B8"/>
    <w:rsid w:val="70E1568B"/>
    <w:rsid w:val="718801FD"/>
    <w:rsid w:val="72225268"/>
    <w:rsid w:val="72AB2687"/>
    <w:rsid w:val="73165530"/>
    <w:rsid w:val="736D1458"/>
    <w:rsid w:val="744114FF"/>
    <w:rsid w:val="745B5E96"/>
    <w:rsid w:val="74832159"/>
    <w:rsid w:val="74962C31"/>
    <w:rsid w:val="75750A98"/>
    <w:rsid w:val="758B555C"/>
    <w:rsid w:val="7642733C"/>
    <w:rsid w:val="76877A70"/>
    <w:rsid w:val="76880357"/>
    <w:rsid w:val="76967FC0"/>
    <w:rsid w:val="772C1590"/>
    <w:rsid w:val="77497D0A"/>
    <w:rsid w:val="77846D70"/>
    <w:rsid w:val="77F7EB24"/>
    <w:rsid w:val="79555DEE"/>
    <w:rsid w:val="79DC2574"/>
    <w:rsid w:val="7ABF182A"/>
    <w:rsid w:val="7B317134"/>
    <w:rsid w:val="7BC01C9A"/>
    <w:rsid w:val="7BD97F81"/>
    <w:rsid w:val="7BF81ADB"/>
    <w:rsid w:val="7CA92DB4"/>
    <w:rsid w:val="7CED1F1F"/>
    <w:rsid w:val="7CFB1B87"/>
    <w:rsid w:val="7CFF790E"/>
    <w:rsid w:val="7D16395A"/>
    <w:rsid w:val="7D1943FF"/>
    <w:rsid w:val="7D472D1A"/>
    <w:rsid w:val="7D893333"/>
    <w:rsid w:val="7DF6029C"/>
    <w:rsid w:val="7E5A4CCF"/>
    <w:rsid w:val="7E7F1055"/>
    <w:rsid w:val="7EB548D6"/>
    <w:rsid w:val="7EBE1C81"/>
    <w:rsid w:val="7EEC75F6"/>
    <w:rsid w:val="7F0D2529"/>
    <w:rsid w:val="7F6F5F34"/>
    <w:rsid w:val="7F7E49ED"/>
    <w:rsid w:val="7F7F0DD7"/>
    <w:rsid w:val="7FCBF8D4"/>
    <w:rsid w:val="7FE2954B"/>
    <w:rsid w:val="7FE52892"/>
    <w:rsid w:val="7FED7174"/>
    <w:rsid w:val="7FEF41D4"/>
    <w:rsid w:val="7FFE50C9"/>
    <w:rsid w:val="946DCC38"/>
    <w:rsid w:val="96F73772"/>
    <w:rsid w:val="9B5D6658"/>
    <w:rsid w:val="9FBA1BA8"/>
    <w:rsid w:val="A6EF0FE4"/>
    <w:rsid w:val="AFE9DA3A"/>
    <w:rsid w:val="B33B419B"/>
    <w:rsid w:val="B3BEFD31"/>
    <w:rsid w:val="B8773722"/>
    <w:rsid w:val="BFEFC439"/>
    <w:rsid w:val="DA6DFD94"/>
    <w:rsid w:val="DF7FAA4D"/>
    <w:rsid w:val="DFFE6A19"/>
    <w:rsid w:val="E3473990"/>
    <w:rsid w:val="E9EC3C78"/>
    <w:rsid w:val="EBFBA55A"/>
    <w:rsid w:val="EFFEC0BF"/>
    <w:rsid w:val="F6F2A20A"/>
    <w:rsid w:val="FA5FC64B"/>
    <w:rsid w:val="FE5D049E"/>
    <w:rsid w:val="FED5E71A"/>
    <w:rsid w:val="FFFB9E4F"/>
    <w:rsid w:val="FFFF9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6"/>
    <w:basedOn w:val="1"/>
    <w:next w:val="1"/>
    <w:qFormat/>
    <w:uiPriority w:val="0"/>
    <w:pPr>
      <w:keepNext/>
      <w:keepLines/>
      <w:spacing w:line="360" w:lineRule="auto"/>
      <w:outlineLvl w:val="5"/>
    </w:pPr>
    <w:rPr>
      <w:b/>
      <w:bCs/>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8"/>
    <w:unhideWhenUsed/>
    <w:qFormat/>
    <w:uiPriority w:val="0"/>
    <w:pPr>
      <w:spacing w:after="120"/>
    </w:pPr>
  </w:style>
  <w:style w:type="paragraph" w:styleId="8">
    <w:name w:val="Body Text 2"/>
    <w:basedOn w:val="1"/>
    <w:unhideWhenUsed/>
    <w:qFormat/>
    <w:uiPriority w:val="0"/>
    <w:pPr>
      <w:spacing w:after="120" w:line="480" w:lineRule="auto"/>
    </w:pPr>
  </w:style>
  <w:style w:type="paragraph" w:styleId="9">
    <w:name w:val="Body Text Indent"/>
    <w:basedOn w:val="1"/>
    <w:next w:val="1"/>
    <w:qFormat/>
    <w:uiPriority w:val="0"/>
    <w:pPr>
      <w:ind w:firstLine="830" w:firstLineChars="352"/>
    </w:pPr>
    <w:rPr>
      <w:rFonts w:ascii="仿宋_GB2312" w:eastAsia="仿宋_GB2312"/>
      <w:kern w:val="0"/>
      <w:sz w:val="32"/>
      <w:szCs w:val="20"/>
    </w:rPr>
  </w:style>
  <w:style w:type="paragraph" w:styleId="10">
    <w:name w:val="List 2"/>
    <w:basedOn w:val="1"/>
    <w:unhideWhenUsed/>
    <w:qFormat/>
    <w:uiPriority w:val="99"/>
    <w:pPr>
      <w:ind w:left="100" w:leftChars="200" w:hanging="200" w:hangingChars="200"/>
      <w:contextualSpacing/>
    </w:pPr>
  </w:style>
  <w:style w:type="paragraph" w:styleId="11">
    <w:name w:val="Plain Text"/>
    <w:basedOn w:val="1"/>
    <w:next w:val="1"/>
    <w:qFormat/>
    <w:uiPriority w:val="0"/>
    <w:rPr>
      <w:rFonts w:ascii="宋体" w:hAnsi="Courier New"/>
      <w:kern w:val="0"/>
      <w:sz w:val="20"/>
      <w:szCs w:val="21"/>
    </w:rPr>
  </w:style>
  <w:style w:type="paragraph" w:styleId="12">
    <w:name w:val="footer"/>
    <w:basedOn w:val="1"/>
    <w:unhideWhenUsed/>
    <w:qFormat/>
    <w:uiPriority w:val="99"/>
    <w:pPr>
      <w:tabs>
        <w:tab w:val="center" w:pos="4153"/>
        <w:tab w:val="right" w:pos="8306"/>
      </w:tabs>
      <w:snapToGrid w:val="0"/>
      <w:jc w:val="left"/>
    </w:pPr>
    <w:rPr>
      <w:kern w:val="0"/>
      <w:sz w:val="18"/>
      <w:szCs w:val="18"/>
    </w:rPr>
  </w:style>
  <w:style w:type="paragraph" w:styleId="13">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List"/>
    <w:basedOn w:val="1"/>
    <w:qFormat/>
    <w:uiPriority w:val="0"/>
    <w:pPr>
      <w:ind w:left="200" w:hanging="200" w:hangingChars="200"/>
    </w:pPr>
    <w:rPr>
      <w:sz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qFormat/>
    <w:uiPriority w:val="0"/>
    <w:rPr>
      <w:sz w:val="24"/>
    </w:rPr>
  </w:style>
  <w:style w:type="paragraph" w:styleId="17">
    <w:name w:val="Body Text First Indent 2"/>
    <w:basedOn w:val="9"/>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rPr>
  </w:style>
  <w:style w:type="character" w:styleId="22">
    <w:name w:val="page number"/>
    <w:basedOn w:val="20"/>
    <w:qFormat/>
    <w:uiPriority w:val="0"/>
  </w:style>
  <w:style w:type="character" w:styleId="23">
    <w:name w:val="Hyperlink"/>
    <w:basedOn w:val="20"/>
    <w:qFormat/>
    <w:uiPriority w:val="0"/>
    <w:rPr>
      <w:color w:val="0000FF"/>
      <w:u w:val="single"/>
    </w:rPr>
  </w:style>
  <w:style w:type="character" w:styleId="24">
    <w:name w:val="annotation reference"/>
    <w:basedOn w:val="20"/>
    <w:qFormat/>
    <w:uiPriority w:val="0"/>
    <w:rPr>
      <w:sz w:val="21"/>
      <w:szCs w:val="21"/>
    </w:rPr>
  </w:style>
  <w:style w:type="paragraph" w:customStyle="1" w:styleId="25">
    <w:name w:val="Body Text First Indent1"/>
    <w:basedOn w:val="12"/>
    <w:qFormat/>
    <w:uiPriority w:val="0"/>
    <w:pPr>
      <w:spacing w:line="360" w:lineRule="auto"/>
      <w:ind w:firstLine="420" w:firstLineChars="100"/>
    </w:pPr>
  </w:style>
  <w:style w:type="paragraph" w:customStyle="1" w:styleId="26">
    <w:name w:val="表格文字"/>
    <w:basedOn w:val="1"/>
    <w:next w:val="7"/>
    <w:qFormat/>
    <w:uiPriority w:val="0"/>
    <w:pPr>
      <w:spacing w:before="25" w:after="25"/>
      <w:jc w:val="left"/>
    </w:pPr>
    <w:rPr>
      <w:bCs/>
      <w:spacing w:val="10"/>
      <w:kern w:val="0"/>
      <w:sz w:val="24"/>
      <w:szCs w:val="20"/>
    </w:rPr>
  </w:style>
  <w:style w:type="character" w:customStyle="1" w:styleId="27">
    <w:name w:val="font1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8078</Words>
  <Characters>8345</Characters>
  <Lines>73</Lines>
  <Paragraphs>20</Paragraphs>
  <TotalTime>5</TotalTime>
  <ScaleCrop>false</ScaleCrop>
  <LinksUpToDate>false</LinksUpToDate>
  <CharactersWithSpaces>9409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2025-06-06T15:21:00Z</dcterms:created>
  <dc:creator>Administrator</dc:creator>
  <cp:lastModifiedBy>NTKO</cp:lastModifiedBy>
  <dcterms:modified xsi:type="dcterms:W3CDTF">2025-08-06T08:04:33Z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eyJoZGlkIjoiOTY2YzAyNmQ4MjVlYzA4NGE1YzkzODZiYWExZTM5MjcifQ==</vt:lpwstr>
  </property>
  <property fmtid="{D5CDD505-2E9C-101B-9397-08002B2CF9AE}" pid="4" name="ICV">
    <vt:lpwstr>0A436CEFD49B462E90FB718708DA0C61_12</vt:lpwstr>
  </property>
</Properties>
</file>